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8B55FB">
        <w:rPr>
          <w:rFonts w:asciiTheme="majorHAnsi" w:hAnsiTheme="majorHAnsi"/>
          <w:b/>
        </w:rPr>
        <w:t>1</w:t>
      </w:r>
      <w:r w:rsidR="004C0310">
        <w:rPr>
          <w:rFonts w:asciiTheme="majorHAnsi" w:hAnsiTheme="majorHAnsi"/>
          <w:b/>
        </w:rPr>
        <w:t>1</w:t>
      </w:r>
      <w:r w:rsidR="004C0310" w:rsidRPr="004C0310">
        <w:rPr>
          <w:rFonts w:asciiTheme="majorHAnsi" w:hAnsiTheme="majorHAnsi"/>
          <w:b/>
          <w:vertAlign w:val="superscript"/>
        </w:rPr>
        <w:t>th</w:t>
      </w:r>
      <w:r w:rsidR="004C0310">
        <w:rPr>
          <w:rFonts w:asciiTheme="majorHAnsi" w:hAnsiTheme="majorHAnsi"/>
          <w:b/>
        </w:rPr>
        <w:t xml:space="preserve"> Feb</w:t>
      </w:r>
      <w:r w:rsidR="00784DF8">
        <w:rPr>
          <w:rFonts w:asciiTheme="majorHAnsi" w:hAnsiTheme="majorHAnsi"/>
          <w:b/>
        </w:rPr>
        <w:t xml:space="preserve"> 2020</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F33063">
        <w:rPr>
          <w:rFonts w:asciiTheme="majorHAnsi" w:hAnsiTheme="majorHAnsi"/>
        </w:rPr>
        <w:t xml:space="preserve"> </w:t>
      </w:r>
      <w:r w:rsidR="009F3231" w:rsidRPr="00386AC0">
        <w:rPr>
          <w:rFonts w:asciiTheme="majorHAnsi" w:hAnsiTheme="majorHAnsi"/>
        </w:rPr>
        <w:t>Leopold,</w:t>
      </w:r>
      <w:r w:rsidR="00045CF2">
        <w:rPr>
          <w:rFonts w:asciiTheme="majorHAnsi" w:hAnsiTheme="majorHAnsi"/>
        </w:rPr>
        <w:t xml:space="preserve"> Cain,</w:t>
      </w:r>
      <w:r w:rsidR="009F3231" w:rsidRPr="00386AC0">
        <w:rPr>
          <w:rFonts w:asciiTheme="majorHAnsi" w:hAnsiTheme="majorHAnsi"/>
        </w:rPr>
        <w:t xml:space="preserve">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E95B2D" w:rsidRDefault="00DE44B3" w:rsidP="0056319C">
      <w:pPr>
        <w:spacing w:after="0" w:line="240" w:lineRule="auto"/>
        <w:rPr>
          <w:rFonts w:asciiTheme="majorHAnsi" w:hAnsiTheme="majorHAnsi"/>
        </w:rPr>
      </w:pPr>
      <w:r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Pr="00386AC0">
        <w:rPr>
          <w:rFonts w:asciiTheme="majorHAnsi" w:hAnsiTheme="majorHAnsi"/>
        </w:rPr>
        <w:t>.</w:t>
      </w:r>
    </w:p>
    <w:p w:rsidR="00E463E7" w:rsidRDefault="004C0310" w:rsidP="0056319C">
      <w:pPr>
        <w:spacing w:after="0" w:line="240" w:lineRule="auto"/>
        <w:rPr>
          <w:rFonts w:asciiTheme="majorHAnsi" w:hAnsiTheme="majorHAnsi"/>
        </w:rPr>
      </w:pPr>
      <w:r>
        <w:rPr>
          <w:rFonts w:asciiTheme="majorHAnsi" w:hAnsiTheme="majorHAnsi"/>
        </w:rPr>
        <w:t>3</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AA2F38" w:rsidRDefault="004C0310" w:rsidP="00E857C4">
      <w:pPr>
        <w:spacing w:after="0"/>
        <w:rPr>
          <w:rFonts w:asciiTheme="majorHAnsi" w:hAnsiTheme="majorHAnsi"/>
          <w:b/>
        </w:rPr>
      </w:pPr>
      <w:r>
        <w:rPr>
          <w:rFonts w:asciiTheme="majorHAnsi" w:hAnsiTheme="majorHAnsi"/>
          <w:b/>
        </w:rPr>
        <w:t>01.02</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4C0310" w:rsidRDefault="004C0310" w:rsidP="00E857C4">
      <w:pPr>
        <w:spacing w:after="0"/>
        <w:rPr>
          <w:rFonts w:asciiTheme="majorHAnsi" w:hAnsiTheme="majorHAnsi"/>
        </w:rPr>
      </w:pPr>
      <w:r>
        <w:rPr>
          <w:rFonts w:asciiTheme="majorHAnsi" w:hAnsiTheme="majorHAnsi"/>
        </w:rPr>
        <w:t>Thanks were given to Cllr Adrian Southgate for digging out the base of the new youth she</w:t>
      </w:r>
      <w:r w:rsidR="00523FF1">
        <w:rPr>
          <w:rFonts w:asciiTheme="majorHAnsi" w:hAnsiTheme="majorHAnsi"/>
        </w:rPr>
        <w:t>lter and laying the concrete, also</w:t>
      </w:r>
      <w:r>
        <w:rPr>
          <w:rFonts w:asciiTheme="majorHAnsi" w:hAnsiTheme="majorHAnsi"/>
        </w:rPr>
        <w:t xml:space="preserve"> to Cllr Ruth Stephens for her work on the recent newsletter.</w:t>
      </w:r>
    </w:p>
    <w:p w:rsidR="004C0310" w:rsidRPr="004C0310" w:rsidRDefault="004C0310" w:rsidP="00E857C4">
      <w:pPr>
        <w:spacing w:after="0"/>
        <w:rPr>
          <w:rFonts w:asciiTheme="majorHAnsi" w:hAnsiTheme="majorHAnsi"/>
        </w:rPr>
      </w:pPr>
      <w:r>
        <w:rPr>
          <w:rFonts w:asciiTheme="majorHAnsi" w:hAnsiTheme="majorHAnsi"/>
        </w:rPr>
        <w:t>There will be a part II meeting for councillors (not for public inclusion).</w:t>
      </w:r>
    </w:p>
    <w:p w:rsidR="00784DF8" w:rsidRDefault="00784DF8" w:rsidP="00E857C4">
      <w:pPr>
        <w:spacing w:after="0"/>
        <w:rPr>
          <w:rFonts w:asciiTheme="majorHAnsi" w:hAnsiTheme="majorHAnsi"/>
          <w:b/>
        </w:rPr>
      </w:pPr>
    </w:p>
    <w:p w:rsidR="001004CB" w:rsidRPr="00386AC0" w:rsidRDefault="004C0310" w:rsidP="00E857C4">
      <w:pPr>
        <w:spacing w:after="0"/>
        <w:rPr>
          <w:rFonts w:asciiTheme="majorHAnsi" w:hAnsiTheme="majorHAnsi"/>
        </w:rPr>
      </w:pPr>
      <w:r>
        <w:rPr>
          <w:rFonts w:asciiTheme="majorHAnsi" w:hAnsiTheme="majorHAnsi"/>
          <w:b/>
        </w:rPr>
        <w:t>02.02</w:t>
      </w:r>
      <w:r w:rsidR="007F251D" w:rsidRPr="00386AC0">
        <w:rPr>
          <w:rFonts w:asciiTheme="majorHAnsi" w:hAnsiTheme="majorHAnsi"/>
          <w:b/>
        </w:rPr>
        <w:t xml:space="preserve"> Apologies for absence</w:t>
      </w:r>
    </w:p>
    <w:p w:rsidR="00451E79" w:rsidRDefault="004C0310" w:rsidP="00E857C4">
      <w:pPr>
        <w:spacing w:after="0"/>
        <w:rPr>
          <w:rFonts w:asciiTheme="majorHAnsi" w:hAnsiTheme="majorHAnsi"/>
        </w:rPr>
      </w:pPr>
      <w:r>
        <w:rPr>
          <w:rFonts w:asciiTheme="majorHAnsi" w:hAnsiTheme="majorHAnsi"/>
        </w:rPr>
        <w:t>CCllr Kemp and Cllr Sewell.</w:t>
      </w:r>
    </w:p>
    <w:p w:rsidR="00E463E7" w:rsidRPr="00386AC0" w:rsidRDefault="00E463E7" w:rsidP="00E857C4">
      <w:pPr>
        <w:spacing w:after="0"/>
        <w:rPr>
          <w:rFonts w:asciiTheme="majorHAnsi" w:hAnsiTheme="majorHAnsi"/>
        </w:rPr>
      </w:pPr>
    </w:p>
    <w:p w:rsidR="007F5157" w:rsidRPr="00386AC0" w:rsidRDefault="004C0310" w:rsidP="00E857C4">
      <w:pPr>
        <w:spacing w:after="0"/>
        <w:rPr>
          <w:rFonts w:asciiTheme="majorHAnsi" w:hAnsiTheme="majorHAnsi"/>
          <w:b/>
        </w:rPr>
      </w:pPr>
      <w:r>
        <w:rPr>
          <w:rFonts w:asciiTheme="majorHAnsi" w:hAnsiTheme="majorHAnsi"/>
          <w:b/>
        </w:rPr>
        <w:t>03.02</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FE272C" w:rsidRDefault="00FE272C" w:rsidP="00D760CC">
      <w:pPr>
        <w:spacing w:after="0"/>
        <w:rPr>
          <w:rFonts w:asciiTheme="majorHAnsi" w:hAnsiTheme="majorHAnsi"/>
        </w:rPr>
      </w:pPr>
    </w:p>
    <w:p w:rsidR="007F5157" w:rsidRPr="00386AC0" w:rsidRDefault="008757E7" w:rsidP="00E857C4">
      <w:pPr>
        <w:spacing w:after="0"/>
        <w:rPr>
          <w:rFonts w:asciiTheme="majorHAnsi" w:hAnsiTheme="majorHAnsi"/>
          <w:b/>
        </w:rPr>
      </w:pPr>
      <w:r>
        <w:rPr>
          <w:rFonts w:asciiTheme="majorHAnsi" w:hAnsiTheme="majorHAnsi"/>
          <w:b/>
        </w:rPr>
        <w:t>04.02</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784DF8">
        <w:rPr>
          <w:rFonts w:asciiTheme="majorHAnsi" w:hAnsiTheme="majorHAnsi"/>
          <w:b/>
        </w:rPr>
        <w:t>1</w:t>
      </w:r>
      <w:r>
        <w:rPr>
          <w:rFonts w:asciiTheme="majorHAnsi" w:hAnsiTheme="majorHAnsi"/>
          <w:b/>
        </w:rPr>
        <w:t>4</w:t>
      </w:r>
      <w:r w:rsidRPr="008757E7">
        <w:rPr>
          <w:rFonts w:asciiTheme="majorHAnsi" w:hAnsiTheme="majorHAnsi"/>
          <w:b/>
          <w:vertAlign w:val="superscript"/>
        </w:rPr>
        <w:t>th</w:t>
      </w:r>
      <w:r>
        <w:rPr>
          <w:rFonts w:asciiTheme="majorHAnsi" w:hAnsiTheme="majorHAnsi"/>
          <w:b/>
        </w:rPr>
        <w:t xml:space="preserve"> Jan 2020</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8757E7" w:rsidP="00E857C4">
      <w:pPr>
        <w:spacing w:after="0"/>
        <w:rPr>
          <w:rFonts w:asciiTheme="majorHAnsi" w:hAnsiTheme="majorHAnsi"/>
          <w:b/>
        </w:rPr>
      </w:pPr>
      <w:r>
        <w:rPr>
          <w:rFonts w:asciiTheme="majorHAnsi" w:hAnsiTheme="majorHAnsi"/>
          <w:b/>
        </w:rPr>
        <w:t>05.02</w:t>
      </w:r>
      <w:r w:rsidR="00784DF8">
        <w:rPr>
          <w:rFonts w:asciiTheme="majorHAnsi" w:hAnsiTheme="majorHAnsi"/>
          <w:b/>
        </w:rPr>
        <w:t xml:space="preserve">  </w:t>
      </w:r>
      <w:r w:rsidR="003850C2" w:rsidRPr="00386AC0">
        <w:rPr>
          <w:rFonts w:asciiTheme="majorHAnsi" w:hAnsiTheme="majorHAnsi"/>
          <w:b/>
        </w:rPr>
        <w:t xml:space="preserve">  Matters arising from the minutes of the last meeting</w:t>
      </w:r>
    </w:p>
    <w:p w:rsidR="00FA6DDF" w:rsidRDefault="008757E7" w:rsidP="00E857C4">
      <w:pPr>
        <w:spacing w:after="0"/>
        <w:rPr>
          <w:rFonts w:asciiTheme="majorHAnsi" w:hAnsiTheme="majorHAnsi"/>
        </w:rPr>
      </w:pPr>
      <w:r>
        <w:rPr>
          <w:rFonts w:asciiTheme="majorHAnsi" w:hAnsiTheme="majorHAnsi"/>
        </w:rPr>
        <w:t>None</w:t>
      </w:r>
    </w:p>
    <w:p w:rsidR="008757E7" w:rsidRPr="00E95B2D" w:rsidRDefault="008757E7" w:rsidP="00E857C4">
      <w:pPr>
        <w:spacing w:after="0"/>
        <w:rPr>
          <w:rFonts w:asciiTheme="majorHAnsi" w:hAnsiTheme="majorHAnsi"/>
        </w:rPr>
      </w:pPr>
    </w:p>
    <w:p w:rsidR="007F251D" w:rsidRPr="00386AC0" w:rsidRDefault="008757E7" w:rsidP="00E857C4">
      <w:pPr>
        <w:spacing w:after="0"/>
        <w:rPr>
          <w:rFonts w:asciiTheme="majorHAnsi" w:hAnsiTheme="majorHAnsi"/>
          <w:b/>
        </w:rPr>
      </w:pPr>
      <w:r>
        <w:rPr>
          <w:rFonts w:asciiTheme="majorHAnsi" w:hAnsiTheme="majorHAnsi"/>
          <w:b/>
        </w:rPr>
        <w:t>06.02</w:t>
      </w:r>
      <w:r w:rsidR="007F251D" w:rsidRPr="00386AC0">
        <w:rPr>
          <w:rFonts w:asciiTheme="majorHAnsi" w:hAnsiTheme="majorHAnsi"/>
          <w:b/>
        </w:rPr>
        <w:t xml:space="preserve"> To receive reports</w:t>
      </w:r>
    </w:p>
    <w:p w:rsidR="0059352B" w:rsidRPr="0059352B" w:rsidRDefault="00581E4B" w:rsidP="008757E7">
      <w:pPr>
        <w:spacing w:after="0"/>
        <w:rPr>
          <w:rFonts w:asciiTheme="majorHAnsi" w:hAnsiTheme="majorHAnsi"/>
        </w:rPr>
      </w:pPr>
      <w:r w:rsidRPr="00386AC0">
        <w:rPr>
          <w:rFonts w:asciiTheme="majorHAnsi" w:hAnsiTheme="majorHAnsi"/>
          <w:b/>
        </w:rPr>
        <w:t xml:space="preserve">CCllr Kemp – </w:t>
      </w:r>
    </w:p>
    <w:p w:rsidR="005B1049" w:rsidRDefault="00B56A60" w:rsidP="0008216F">
      <w:pPr>
        <w:spacing w:after="0"/>
        <w:rPr>
          <w:rFonts w:asciiTheme="majorHAnsi" w:hAnsiTheme="majorHAnsi"/>
        </w:rPr>
      </w:pPr>
      <w:r w:rsidRPr="00386AC0">
        <w:rPr>
          <w:rFonts w:asciiTheme="majorHAnsi" w:hAnsiTheme="majorHAnsi"/>
        </w:rPr>
        <w:t>A</w:t>
      </w:r>
      <w:r w:rsidR="00581E4B" w:rsidRPr="00386AC0">
        <w:rPr>
          <w:rFonts w:asciiTheme="majorHAnsi" w:hAnsiTheme="majorHAnsi"/>
        </w:rPr>
        <w:t xml:space="preserve"> full report can be viewed on the website or at the clerk’s office. </w:t>
      </w:r>
    </w:p>
    <w:p w:rsidR="0059352B" w:rsidRDefault="00834996" w:rsidP="0008216F">
      <w:pPr>
        <w:spacing w:after="0"/>
        <w:rPr>
          <w:rFonts w:asciiTheme="majorHAnsi" w:hAnsiTheme="majorHAnsi"/>
        </w:rPr>
      </w:pPr>
      <w:r w:rsidRPr="0029557C">
        <w:rPr>
          <w:rFonts w:asciiTheme="majorHAnsi" w:hAnsiTheme="majorHAnsi"/>
          <w:b/>
        </w:rPr>
        <w:t xml:space="preserve">DCllr </w:t>
      </w:r>
      <w:r w:rsidR="00AA2F38">
        <w:rPr>
          <w:rFonts w:asciiTheme="majorHAnsi" w:hAnsiTheme="majorHAnsi"/>
          <w:b/>
        </w:rPr>
        <w:t>Plumb –</w:t>
      </w:r>
      <w:r w:rsidR="0059352B">
        <w:rPr>
          <w:rFonts w:asciiTheme="majorHAnsi" w:hAnsiTheme="majorHAnsi"/>
        </w:rPr>
        <w:t xml:space="preserve"> </w:t>
      </w:r>
    </w:p>
    <w:p w:rsidR="00244E53" w:rsidRDefault="0059352B" w:rsidP="00244E53">
      <w:pPr>
        <w:spacing w:after="0"/>
        <w:rPr>
          <w:rFonts w:asciiTheme="majorHAnsi" w:hAnsiTheme="majorHAnsi"/>
        </w:rPr>
      </w:pPr>
      <w:r>
        <w:rPr>
          <w:rFonts w:asciiTheme="majorHAnsi" w:hAnsiTheme="majorHAnsi"/>
        </w:rPr>
        <w:t>DCllr Plumb read out the following report:</w:t>
      </w:r>
    </w:p>
    <w:p w:rsidR="007D0E3B" w:rsidRDefault="007D0E3B" w:rsidP="00244E53">
      <w:pPr>
        <w:spacing w:after="0"/>
        <w:rPr>
          <w:rFonts w:asciiTheme="majorHAnsi" w:hAnsiTheme="majorHAnsi"/>
        </w:rPr>
      </w:pPr>
    </w:p>
    <w:tbl>
      <w:tblPr>
        <w:tblpPr w:leftFromText="180" w:rightFromText="180" w:vertAnchor="text" w:tblpX="108"/>
        <w:tblW w:w="4942" w:type="pct"/>
        <w:shd w:val="clear" w:color="auto" w:fill="FFFFFF"/>
        <w:tblCellMar>
          <w:left w:w="0" w:type="dxa"/>
          <w:right w:w="0" w:type="dxa"/>
        </w:tblCellMar>
        <w:tblLook w:val="04A0"/>
      </w:tblPr>
      <w:tblGrid>
        <w:gridCol w:w="9135"/>
      </w:tblGrid>
      <w:tr w:rsidR="008757E7" w:rsidTr="00DF3631">
        <w:tc>
          <w:tcPr>
            <w:tcW w:w="9134" w:type="dxa"/>
            <w:tcBorders>
              <w:top w:val="single" w:sz="8" w:space="0" w:color="FFFFFF"/>
              <w:left w:val="nil"/>
              <w:bottom w:val="nil"/>
              <w:right w:val="nil"/>
            </w:tcBorders>
            <w:shd w:val="clear" w:color="auto" w:fill="FFFFFF"/>
            <w:tcMar>
              <w:top w:w="0" w:type="dxa"/>
              <w:left w:w="108" w:type="dxa"/>
              <w:bottom w:w="0" w:type="dxa"/>
              <w:right w:w="108" w:type="dxa"/>
            </w:tcMar>
            <w:hideMark/>
          </w:tcPr>
          <w:p w:rsidR="00DF3631" w:rsidRPr="00DF3631" w:rsidRDefault="00DF3631" w:rsidP="007D0E3B">
            <w:pPr>
              <w:tabs>
                <w:tab w:val="left" w:pos="2296"/>
              </w:tabs>
              <w:spacing w:after="0"/>
              <w:ind w:left="-142" w:firstLine="142"/>
              <w:rPr>
                <w:rFonts w:asciiTheme="majorHAnsi" w:hAnsiTheme="majorHAnsi" w:cs="Calibri"/>
                <w:color w:val="0070C0"/>
              </w:rPr>
            </w:pPr>
            <w:r w:rsidRPr="00DF3631">
              <w:rPr>
                <w:rFonts w:asciiTheme="majorHAnsi" w:hAnsiTheme="majorHAnsi" w:cs="Arial"/>
                <w:b/>
                <w:bCs/>
                <w:color w:val="0070C0"/>
              </w:rPr>
              <w:t>Babe</w:t>
            </w:r>
            <w:r w:rsidR="008757E7" w:rsidRPr="00DF3631">
              <w:rPr>
                <w:rFonts w:asciiTheme="majorHAnsi" w:hAnsiTheme="majorHAnsi" w:cs="Arial"/>
                <w:b/>
                <w:bCs/>
                <w:color w:val="0070C0"/>
              </w:rPr>
              <w:t>rgh budget</w:t>
            </w:r>
            <w:r w:rsidRPr="00DF3631">
              <w:rPr>
                <w:rFonts w:asciiTheme="majorHAnsi" w:hAnsiTheme="majorHAnsi" w:cs="Arial"/>
                <w:b/>
                <w:bCs/>
                <w:color w:val="0070C0"/>
              </w:rPr>
              <w:tab/>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color w:val="0070C0"/>
              </w:rPr>
              <w:t>The first draft of the Babergh District Council’s budget for 2020/21 was agreed last month. The budget included an increase of £5 on council tax on Band D properties.</w:t>
            </w:r>
          </w:p>
          <w:p w:rsidR="00DF3631" w:rsidRPr="00DF3631" w:rsidRDefault="008757E7" w:rsidP="00DF3631">
            <w:pPr>
              <w:jc w:val="both"/>
              <w:rPr>
                <w:rFonts w:asciiTheme="majorHAnsi" w:hAnsiTheme="majorHAnsi"/>
                <w:color w:val="0070C0"/>
              </w:rPr>
            </w:pPr>
            <w:r w:rsidRPr="00DF3631">
              <w:rPr>
                <w:rFonts w:asciiTheme="majorHAnsi" w:hAnsiTheme="majorHAnsi" w:cs="Arial"/>
                <w:color w:val="0070C0"/>
              </w:rPr>
              <w:t>Following consideration by Babergh Cabinet and Overview and Scrutiny, the draft budget will then go to Full Council this month (February) and, if approved, comes into effect on 1 April 2020</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b/>
                <w:bCs/>
                <w:color w:val="0070C0"/>
              </w:rPr>
              <w:t xml:space="preserve">What Next in Sudbury? exhibition </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color w:val="0070C0"/>
              </w:rPr>
              <w:t>Babergh District Council opened the doors to hundreds at special public exhibition last month – to share proposals for the town with Sudbury residents.</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color w:val="0070C0"/>
              </w:rPr>
              <w:t> The public exhibition – What next for Sudbury? – showcased developments already taking place across the town, including investment in Kingfisher Leisure Centre, Gainsborough’s House and St Peter’s regeneration as well as sharing proposals for Belle Vue.</w:t>
            </w:r>
          </w:p>
          <w:p w:rsidR="00DF3631" w:rsidRPr="00DF3631" w:rsidRDefault="008757E7" w:rsidP="00DF3631">
            <w:pPr>
              <w:spacing w:after="0"/>
              <w:jc w:val="both"/>
              <w:rPr>
                <w:rFonts w:asciiTheme="majorHAnsi" w:hAnsiTheme="majorHAnsi"/>
                <w:color w:val="0070C0"/>
              </w:rPr>
            </w:pPr>
            <w:r w:rsidRPr="00DF3631">
              <w:rPr>
                <w:rFonts w:asciiTheme="majorHAnsi" w:hAnsiTheme="majorHAnsi"/>
                <w:color w:val="0070C0"/>
              </w:rPr>
              <w:t> </w:t>
            </w:r>
            <w:r w:rsidRPr="00DF3631">
              <w:rPr>
                <w:rFonts w:asciiTheme="majorHAnsi" w:hAnsiTheme="majorHAnsi" w:cs="Arial"/>
                <w:color w:val="0070C0"/>
              </w:rPr>
              <w:t>It also shared findings of the recent study commissioned by Suffolk County Council into ways to revitalise Sudbury including the planned relocation</w:t>
            </w:r>
            <w:r w:rsidRPr="00DF3631">
              <w:rPr>
                <w:rFonts w:asciiTheme="majorHAnsi" w:hAnsiTheme="majorHAnsi"/>
                <w:color w:val="0070C0"/>
              </w:rPr>
              <w:t xml:space="preserve"> of the</w:t>
            </w:r>
            <w:r w:rsidRPr="00DF3631">
              <w:rPr>
                <w:rStyle w:val="Strong"/>
                <w:rFonts w:asciiTheme="majorHAnsi" w:hAnsiTheme="majorHAnsi" w:cs="Arial"/>
                <w:b w:val="0"/>
                <w:bCs w:val="0"/>
                <w:color w:val="0070C0"/>
              </w:rPr>
              <w:t xml:space="preserve"> Hamilton Road bus station to an </w:t>
            </w:r>
            <w:r w:rsidRPr="00DF3631">
              <w:rPr>
                <w:rStyle w:val="Strong"/>
                <w:rFonts w:asciiTheme="majorHAnsi" w:hAnsiTheme="majorHAnsi" w:cs="Arial"/>
                <w:b w:val="0"/>
                <w:bCs w:val="0"/>
                <w:color w:val="0070C0"/>
              </w:rPr>
              <w:lastRenderedPageBreak/>
              <w:t>on-street facility and the redesign of Market Hill in order to attract more visitors into the town centre.</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color w:val="0070C0"/>
              </w:rPr>
              <w:t>The event also gave residents their first glimpse at plans for the proposed hotel and restaurant on the site of the former swimming pool at Belle Vue ahead of any planning application being submitted, as well as more information on proposals for the future use of Belle Vue House and investment in facilities for Belle Vue Park.</w:t>
            </w:r>
          </w:p>
          <w:p w:rsidR="008757E7" w:rsidRPr="00DF3631" w:rsidRDefault="008757E7" w:rsidP="00DF3631">
            <w:pPr>
              <w:jc w:val="both"/>
              <w:rPr>
                <w:rFonts w:asciiTheme="majorHAnsi" w:hAnsiTheme="majorHAnsi"/>
                <w:color w:val="0070C0"/>
              </w:rPr>
            </w:pPr>
            <w:r w:rsidRPr="00DF3631">
              <w:rPr>
                <w:rFonts w:asciiTheme="majorHAnsi" w:hAnsiTheme="majorHAnsi" w:cs="Arial"/>
                <w:color w:val="0070C0"/>
              </w:rPr>
              <w:t>An online survey is  now open to gather views on Belle Vue which closes on 16 February</w:t>
            </w:r>
          </w:p>
          <w:p w:rsidR="0026755D" w:rsidRPr="00DF3631" w:rsidRDefault="008757E7" w:rsidP="00DF3631">
            <w:pPr>
              <w:spacing w:after="0"/>
              <w:jc w:val="both"/>
              <w:rPr>
                <w:rFonts w:asciiTheme="majorHAnsi" w:hAnsiTheme="majorHAnsi"/>
                <w:color w:val="0070C0"/>
              </w:rPr>
            </w:pPr>
            <w:r w:rsidRPr="00DF3631">
              <w:rPr>
                <w:rFonts w:asciiTheme="majorHAnsi" w:hAnsiTheme="majorHAnsi" w:cs="Arial"/>
                <w:b/>
                <w:bCs/>
                <w:color w:val="0070C0"/>
              </w:rPr>
              <w:t>New Housing Assistance policy to help those in need</w:t>
            </w:r>
          </w:p>
          <w:p w:rsidR="0026755D" w:rsidRPr="00DF3631" w:rsidRDefault="008757E7" w:rsidP="00DF3631">
            <w:pPr>
              <w:jc w:val="both"/>
              <w:rPr>
                <w:rFonts w:asciiTheme="majorHAnsi" w:hAnsiTheme="majorHAnsi"/>
                <w:color w:val="0070C0"/>
              </w:rPr>
            </w:pPr>
            <w:r w:rsidRPr="00DF3631">
              <w:rPr>
                <w:rFonts w:asciiTheme="majorHAnsi" w:hAnsiTheme="majorHAnsi" w:cs="Arial"/>
                <w:color w:val="0070C0"/>
              </w:rPr>
              <w:t>Babergh and Mid Suffolk District Councils approved a new Housing Assistance Policy to help residents suffering with a long-term illness adapt their homes.</w:t>
            </w:r>
          </w:p>
          <w:p w:rsidR="008757E7" w:rsidRPr="00DF3631" w:rsidRDefault="008757E7" w:rsidP="00DF3631">
            <w:pPr>
              <w:jc w:val="both"/>
              <w:rPr>
                <w:rFonts w:asciiTheme="majorHAnsi" w:hAnsiTheme="majorHAnsi"/>
                <w:color w:val="0070C0"/>
              </w:rPr>
            </w:pPr>
            <w:r w:rsidRPr="00DF3631">
              <w:rPr>
                <w:rFonts w:asciiTheme="majorHAnsi" w:hAnsiTheme="majorHAnsi" w:cs="Arial"/>
                <w:color w:val="0070C0"/>
              </w:rPr>
              <w:t>The introduction of the Minor Adaptations Grant  offers financial support to enable residents to carry out minor adaptations to their home up to the value of £7,500. Works covered within the new scheme include ramps, bathing/washing facilities, additional heating, stairlifts, key safes and wash/dry toilets.</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b/>
                <w:bCs/>
                <w:color w:val="0070C0"/>
              </w:rPr>
              <w:t>Funding support for Citizens Advice approved</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color w:val="0070C0"/>
              </w:rPr>
              <w:t>At cabinet meetings last month councillors at Babergh and Mid Suffolk District Councils gave the go ahead to support Citizens Advice (CA) with more than £420k.</w:t>
            </w:r>
          </w:p>
          <w:p w:rsidR="008757E7" w:rsidRPr="00DF3631" w:rsidRDefault="008757E7" w:rsidP="00DF3631">
            <w:pPr>
              <w:jc w:val="both"/>
              <w:rPr>
                <w:rFonts w:asciiTheme="majorHAnsi" w:hAnsiTheme="majorHAnsi"/>
                <w:color w:val="0070C0"/>
              </w:rPr>
            </w:pPr>
            <w:r w:rsidRPr="00DF3631">
              <w:rPr>
                <w:rFonts w:asciiTheme="majorHAnsi" w:hAnsiTheme="majorHAnsi" w:cs="Arial"/>
                <w:color w:val="0070C0"/>
              </w:rPr>
              <w:t>In Babergh, funds of at least £160,500 for Sudbury and District Citizens Advice were approved the green light over a three-year period, equating to £53,500 per annum – on a rolling basis. With this support of longer-term funding, they can continue to deliver a much-needed service, helping the community to thrive and be more self-sufficient.</w:t>
            </w:r>
          </w:p>
          <w:p w:rsidR="00995425" w:rsidRPr="00DF3631" w:rsidRDefault="008757E7" w:rsidP="00DF3631">
            <w:pPr>
              <w:spacing w:after="0"/>
              <w:jc w:val="both"/>
              <w:rPr>
                <w:rFonts w:asciiTheme="majorHAnsi" w:hAnsiTheme="majorHAnsi"/>
                <w:color w:val="0070C0"/>
              </w:rPr>
            </w:pPr>
            <w:r w:rsidRPr="00DF3631">
              <w:rPr>
                <w:rFonts w:asciiTheme="majorHAnsi" w:hAnsiTheme="majorHAnsi" w:cs="Arial"/>
                <w:b/>
                <w:bCs/>
                <w:color w:val="0070C0"/>
              </w:rPr>
              <w:t>First phase of Kingfisher Leisure centre refurbishment completed</w:t>
            </w:r>
          </w:p>
          <w:p w:rsidR="008757E7" w:rsidRPr="00DF3631" w:rsidRDefault="008757E7" w:rsidP="00DF3631">
            <w:pPr>
              <w:jc w:val="both"/>
              <w:rPr>
                <w:rFonts w:asciiTheme="majorHAnsi" w:hAnsiTheme="majorHAnsi"/>
                <w:color w:val="0070C0"/>
              </w:rPr>
            </w:pPr>
            <w:r w:rsidRPr="00DF3631">
              <w:rPr>
                <w:rFonts w:asciiTheme="majorHAnsi" w:hAnsiTheme="majorHAnsi" w:cs="Arial"/>
                <w:color w:val="0070C0"/>
              </w:rPr>
              <w:t>The first phase of a £2.4m extension and new facilities at Kingfisher Leisure Centre, Sudbury has been completed this month, with community groups offered the chance to apply for free use of the space.</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b/>
                <w:bCs/>
                <w:color w:val="0070C0"/>
              </w:rPr>
              <w:t>Next steps for Hadleigh’s new pool</w:t>
            </w:r>
          </w:p>
          <w:p w:rsidR="008757E7" w:rsidRPr="00DF3631" w:rsidRDefault="008757E7" w:rsidP="00DF3631">
            <w:pPr>
              <w:jc w:val="both"/>
              <w:rPr>
                <w:rFonts w:asciiTheme="majorHAnsi" w:hAnsiTheme="majorHAnsi"/>
                <w:color w:val="0070C0"/>
              </w:rPr>
            </w:pPr>
            <w:r w:rsidRPr="00DF3631">
              <w:rPr>
                <w:rFonts w:asciiTheme="majorHAnsi" w:hAnsiTheme="majorHAnsi" w:cs="Arial"/>
                <w:color w:val="0070C0"/>
              </w:rPr>
              <w:t>Work to build a new swimming pool at Hadleigh Pool and Leisure will enter its next construction phase this Spring. All existing facilities including the current pool have so far remained open and unaffected during most of the works, however, to enable final preparations ahead of its demolition later this year, the current pool will close on Friday 20 March. </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olor w:val="0070C0"/>
              </w:rPr>
              <w:t> </w:t>
            </w:r>
            <w:r w:rsidRPr="00DF3631">
              <w:rPr>
                <w:rFonts w:asciiTheme="majorHAnsi" w:hAnsiTheme="majorHAnsi" w:cs="Arial"/>
                <w:b/>
                <w:bCs/>
                <w:color w:val="0070C0"/>
              </w:rPr>
              <w:t>Neighbourhood plans approved for Aldham and Elmsett</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b/>
                <w:bCs/>
                <w:color w:val="0070C0"/>
              </w:rPr>
              <w:t> </w:t>
            </w:r>
            <w:r w:rsidRPr="00DF3631">
              <w:rPr>
                <w:rFonts w:asciiTheme="majorHAnsi" w:hAnsiTheme="majorHAnsi" w:cs="Arial"/>
                <w:color w:val="0070C0"/>
              </w:rPr>
              <w:t>Aldham’s Neighbourhood Plan was formally adopted at Babergh Full Council on 21 January, following a referendum held in the parish on Thursday 5 December 2019 which saw over 91% of votes cast in support of the plan.</w:t>
            </w:r>
          </w:p>
          <w:p w:rsidR="00DF3631" w:rsidRDefault="008757E7" w:rsidP="00DF3631">
            <w:pPr>
              <w:jc w:val="both"/>
              <w:rPr>
                <w:rFonts w:asciiTheme="majorHAnsi" w:hAnsiTheme="majorHAnsi"/>
                <w:color w:val="0070C0"/>
              </w:rPr>
            </w:pPr>
            <w:r w:rsidRPr="00DF3631">
              <w:rPr>
                <w:rFonts w:asciiTheme="majorHAnsi" w:hAnsiTheme="majorHAnsi" w:cs="Arial"/>
                <w:color w:val="0070C0"/>
              </w:rPr>
              <w:t>This follows the adoption of the Elmsett Neighbourhood Plan by Babergh District Council in December, following a referendum in November which saw 94% of votes cast in favour of the plan.</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b/>
                <w:bCs/>
                <w:color w:val="0070C0"/>
              </w:rPr>
              <w:t>Councillors set to consider new parking plan</w:t>
            </w:r>
          </w:p>
          <w:p w:rsidR="008757E7" w:rsidRPr="00DF3631" w:rsidRDefault="008757E7" w:rsidP="00DF3631">
            <w:pPr>
              <w:jc w:val="both"/>
              <w:rPr>
                <w:rFonts w:asciiTheme="majorHAnsi" w:hAnsiTheme="majorHAnsi"/>
                <w:color w:val="0070C0"/>
              </w:rPr>
            </w:pPr>
            <w:r w:rsidRPr="00DF3631">
              <w:rPr>
                <w:rFonts w:asciiTheme="majorHAnsi" w:hAnsiTheme="majorHAnsi" w:cs="Arial"/>
                <w:color w:val="0070C0"/>
              </w:rPr>
              <w:t>A new Joint Area Parking Management Plan (JAPMP) setting out the blueprint policies to support sustainable parking across Babergh and Mid Suffolk districts will be considered by councillors this month.</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b/>
                <w:bCs/>
                <w:color w:val="0070C0"/>
              </w:rPr>
              <w:lastRenderedPageBreak/>
              <w:t>Coronavirus advice</w:t>
            </w:r>
          </w:p>
          <w:p w:rsidR="008757E7" w:rsidRPr="00DF3631" w:rsidRDefault="008757E7" w:rsidP="00DF3631">
            <w:pPr>
              <w:jc w:val="both"/>
              <w:rPr>
                <w:rFonts w:asciiTheme="majorHAnsi" w:hAnsiTheme="majorHAnsi"/>
                <w:color w:val="0070C0"/>
              </w:rPr>
            </w:pPr>
            <w:r w:rsidRPr="00DF3631">
              <w:rPr>
                <w:rFonts w:asciiTheme="majorHAnsi" w:hAnsiTheme="majorHAnsi" w:cs="Arial"/>
                <w:color w:val="0070C0"/>
              </w:rPr>
              <w:t xml:space="preserve">You will be aware of the news about the Coronavirus in China. Enhanced measures have been put in place for direct flights into Heathrow, Gatwick and Manchester from Wuhan. </w:t>
            </w:r>
            <w:r w:rsidRPr="00DF3631">
              <w:rPr>
                <w:rFonts w:asciiTheme="majorHAnsi" w:hAnsiTheme="majorHAnsi" w:cs="Arial"/>
                <w:b/>
                <w:bCs/>
                <w:color w:val="0070C0"/>
              </w:rPr>
              <w:t>Attached</w:t>
            </w:r>
            <w:r w:rsidRPr="00DF3631">
              <w:rPr>
                <w:rFonts w:asciiTheme="majorHAnsi" w:hAnsiTheme="majorHAnsi" w:cs="Arial"/>
                <w:color w:val="0070C0"/>
              </w:rPr>
              <w:t xml:space="preserve"> is a poster offering advice to anyone that has been in Wuhan in the last 14 days – please help to promote, where appropriate. </w:t>
            </w:r>
          </w:p>
          <w:p w:rsidR="008757E7" w:rsidRPr="00DF3631" w:rsidRDefault="008757E7" w:rsidP="00DF3631">
            <w:pPr>
              <w:spacing w:after="0"/>
              <w:jc w:val="both"/>
              <w:rPr>
                <w:rFonts w:asciiTheme="majorHAnsi" w:hAnsiTheme="majorHAnsi"/>
                <w:color w:val="0070C0"/>
              </w:rPr>
            </w:pPr>
            <w:r w:rsidRPr="00DF3631">
              <w:rPr>
                <w:rFonts w:asciiTheme="majorHAnsi" w:hAnsiTheme="majorHAnsi" w:cs="Arial"/>
                <w:b/>
                <w:bCs/>
                <w:color w:val="0070C0"/>
              </w:rPr>
              <w:t>Hot topics on social media</w:t>
            </w:r>
          </w:p>
          <w:p w:rsidR="008757E7" w:rsidRPr="00DF3631" w:rsidRDefault="008757E7" w:rsidP="00DF3631">
            <w:pPr>
              <w:spacing w:after="0"/>
              <w:jc w:val="both"/>
              <w:rPr>
                <w:rFonts w:asciiTheme="majorHAnsi" w:hAnsiTheme="majorHAnsi"/>
                <w:color w:val="0070C0"/>
              </w:rPr>
            </w:pPr>
            <w:r w:rsidRPr="00DF3631">
              <w:rPr>
                <w:rFonts w:asciiTheme="majorHAnsi" w:eastAsia="Times New Roman" w:hAnsiTheme="majorHAnsi" w:cs="Arial"/>
                <w:color w:val="0070C0"/>
              </w:rPr>
              <w:t>Sudbury What Next? Exhibition</w:t>
            </w:r>
          </w:p>
          <w:p w:rsidR="008757E7" w:rsidRPr="00DF3631" w:rsidRDefault="008757E7" w:rsidP="00DF3631">
            <w:pPr>
              <w:spacing w:after="0"/>
              <w:jc w:val="both"/>
              <w:rPr>
                <w:rFonts w:asciiTheme="majorHAnsi" w:hAnsiTheme="majorHAnsi"/>
                <w:color w:val="0070C0"/>
              </w:rPr>
            </w:pPr>
            <w:r w:rsidRPr="00DF3631">
              <w:rPr>
                <w:rFonts w:asciiTheme="majorHAnsi" w:eastAsia="Times New Roman" w:hAnsiTheme="majorHAnsi" w:cs="Arial"/>
                <w:color w:val="0070C0"/>
              </w:rPr>
              <w:t>Tree for Life</w:t>
            </w:r>
          </w:p>
          <w:p w:rsidR="008757E7" w:rsidRPr="00DF3631" w:rsidRDefault="008757E7" w:rsidP="00DF3631">
            <w:pPr>
              <w:jc w:val="both"/>
              <w:rPr>
                <w:rFonts w:asciiTheme="majorHAnsi" w:hAnsiTheme="majorHAnsi"/>
                <w:color w:val="0070C0"/>
              </w:rPr>
            </w:pPr>
            <w:r w:rsidRPr="00DF3631">
              <w:rPr>
                <w:rFonts w:asciiTheme="majorHAnsi" w:eastAsia="Times New Roman" w:hAnsiTheme="majorHAnsi" w:cs="Arial"/>
                <w:color w:val="0070C0"/>
              </w:rPr>
              <w:t>Bin collections</w:t>
            </w:r>
          </w:p>
          <w:p w:rsidR="008757E7" w:rsidRPr="008757E7" w:rsidRDefault="008757E7" w:rsidP="00DF3631">
            <w:pPr>
              <w:spacing w:before="100" w:beforeAutospacing="1" w:after="100" w:afterAutospacing="1"/>
              <w:contextualSpacing/>
              <w:jc w:val="both"/>
            </w:pPr>
            <w:r w:rsidRPr="00DF3631">
              <w:rPr>
                <w:rFonts w:asciiTheme="majorHAnsi" w:hAnsiTheme="majorHAnsi" w:cs="Arial"/>
                <w:color w:val="0070C0"/>
              </w:rPr>
              <w:t xml:space="preserve">For agendas and minutes of council meetings, please visit the </w:t>
            </w:r>
            <w:hyperlink r:id="rId8" w:history="1">
              <w:r w:rsidRPr="00DF3631">
                <w:rPr>
                  <w:rStyle w:val="Hyperlink"/>
                  <w:rFonts w:asciiTheme="majorHAnsi" w:hAnsiTheme="majorHAnsi" w:cs="Arial"/>
                  <w:color w:val="0070C0"/>
                </w:rPr>
                <w:t>Democratic Services homepage</w:t>
              </w:r>
            </w:hyperlink>
          </w:p>
        </w:tc>
      </w:tr>
    </w:tbl>
    <w:p w:rsidR="0059352B" w:rsidRPr="0059352B" w:rsidRDefault="0059352B" w:rsidP="0008216F">
      <w:pPr>
        <w:spacing w:after="0"/>
        <w:rPr>
          <w:rFonts w:asciiTheme="majorHAnsi" w:hAnsiTheme="majorHAnsi"/>
        </w:rPr>
      </w:pPr>
    </w:p>
    <w:p w:rsidR="005F2D81" w:rsidRDefault="007D0E3B" w:rsidP="0008216F">
      <w:pPr>
        <w:spacing w:after="0"/>
        <w:rPr>
          <w:rFonts w:asciiTheme="majorHAnsi" w:hAnsiTheme="majorHAnsi"/>
          <w:b/>
        </w:rPr>
      </w:pPr>
      <w:r>
        <w:rPr>
          <w:rFonts w:asciiTheme="majorHAnsi" w:hAnsiTheme="majorHAnsi"/>
          <w:b/>
        </w:rPr>
        <w:t>07.02</w:t>
      </w:r>
      <w:r w:rsidR="005F2D81" w:rsidRPr="005F2D81">
        <w:rPr>
          <w:rFonts w:asciiTheme="majorHAnsi" w:hAnsiTheme="majorHAnsi"/>
          <w:b/>
        </w:rPr>
        <w:t xml:space="preserve">  Planning</w:t>
      </w:r>
    </w:p>
    <w:p w:rsidR="008A42B6" w:rsidRDefault="002E0E87" w:rsidP="008A42B6">
      <w:pPr>
        <w:spacing w:after="0"/>
        <w:rPr>
          <w:rFonts w:asciiTheme="majorHAnsi" w:hAnsiTheme="majorHAnsi"/>
        </w:rPr>
      </w:pPr>
      <w:r>
        <w:rPr>
          <w:rFonts w:asciiTheme="majorHAnsi" w:hAnsiTheme="majorHAnsi"/>
          <w:b/>
        </w:rPr>
        <w:tab/>
      </w:r>
      <w:r>
        <w:rPr>
          <w:rFonts w:asciiTheme="majorHAnsi" w:hAnsiTheme="majorHAnsi"/>
          <w:b/>
        </w:rPr>
        <w:tab/>
      </w:r>
      <w:r w:rsidR="008A42B6">
        <w:rPr>
          <w:rFonts w:asciiTheme="majorHAnsi" w:hAnsiTheme="majorHAnsi"/>
          <w:b/>
        </w:rPr>
        <w:t xml:space="preserve">New applications:  </w:t>
      </w:r>
    </w:p>
    <w:p w:rsidR="002E0E87" w:rsidRPr="00A51EC9" w:rsidRDefault="008A42B6" w:rsidP="002E0E87">
      <w:pPr>
        <w:spacing w:after="0"/>
        <w:rPr>
          <w:rFonts w:asciiTheme="majorHAnsi" w:hAnsiTheme="majorHAnsi"/>
          <w:b/>
          <w:sz w:val="20"/>
          <w:szCs w:val="20"/>
        </w:rPr>
      </w:pPr>
      <w:r>
        <w:rPr>
          <w:rFonts w:asciiTheme="majorHAnsi" w:hAnsiTheme="majorHAnsi"/>
          <w:b/>
        </w:rPr>
        <w:tab/>
      </w:r>
      <w:r w:rsidR="00AA2F38">
        <w:rPr>
          <w:rFonts w:asciiTheme="majorHAnsi" w:hAnsiTheme="majorHAnsi"/>
          <w:b/>
        </w:rPr>
        <w:tab/>
      </w:r>
      <w:r w:rsidR="002E0E87" w:rsidRPr="00A51EC9">
        <w:rPr>
          <w:rFonts w:asciiTheme="majorHAnsi" w:hAnsiTheme="majorHAnsi"/>
          <w:b/>
          <w:sz w:val="20"/>
          <w:szCs w:val="20"/>
        </w:rPr>
        <w:t>DC/19/05946 – The Cock Inn, Egremont St</w:t>
      </w:r>
    </w:p>
    <w:p w:rsidR="002E0E87" w:rsidRDefault="002E0E87" w:rsidP="002E0E87">
      <w:pPr>
        <w:spacing w:after="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sidRPr="00A51EC9">
        <w:rPr>
          <w:rFonts w:asciiTheme="majorHAnsi" w:hAnsiTheme="majorHAnsi"/>
          <w:sz w:val="20"/>
          <w:szCs w:val="20"/>
        </w:rPr>
        <w:t xml:space="preserve">Change of use from bed and breakfast (C1 use) to residential (C3 use) comprising net </w:t>
      </w:r>
      <w:r>
        <w:rPr>
          <w:rFonts w:asciiTheme="majorHAnsi" w:hAnsiTheme="majorHAnsi"/>
          <w:sz w:val="20"/>
          <w:szCs w:val="20"/>
        </w:rPr>
        <w:tab/>
      </w:r>
      <w:r>
        <w:rPr>
          <w:rFonts w:asciiTheme="majorHAnsi" w:hAnsiTheme="majorHAnsi"/>
          <w:sz w:val="20"/>
          <w:szCs w:val="20"/>
        </w:rPr>
        <w:tab/>
      </w:r>
      <w:r w:rsidRPr="00A51EC9">
        <w:rPr>
          <w:rFonts w:asciiTheme="majorHAnsi" w:hAnsiTheme="majorHAnsi"/>
          <w:sz w:val="20"/>
          <w:szCs w:val="20"/>
        </w:rPr>
        <w:t>increase of 3no residential units; alterations to soft and hard landscaping</w:t>
      </w:r>
    </w:p>
    <w:p w:rsidR="00B10368" w:rsidRDefault="002E0E87" w:rsidP="00B10368">
      <w:pPr>
        <w:spacing w:after="0"/>
        <w:rPr>
          <w:rFonts w:asciiTheme="majorHAnsi" w:hAnsiTheme="majorHAnsi"/>
          <w:b/>
          <w:i/>
          <w:sz w:val="20"/>
          <w:szCs w:val="20"/>
        </w:rPr>
      </w:pPr>
      <w:r>
        <w:rPr>
          <w:rFonts w:asciiTheme="majorHAnsi" w:hAnsiTheme="majorHAnsi"/>
          <w:b/>
          <w:i/>
          <w:sz w:val="20"/>
          <w:szCs w:val="20"/>
        </w:rPr>
        <w:tab/>
      </w:r>
      <w:r>
        <w:rPr>
          <w:rFonts w:asciiTheme="majorHAnsi" w:hAnsiTheme="majorHAnsi"/>
          <w:b/>
          <w:i/>
          <w:sz w:val="20"/>
          <w:szCs w:val="20"/>
        </w:rPr>
        <w:tab/>
        <w:t xml:space="preserve">It was resolved to recommend - </w:t>
      </w:r>
      <w:r w:rsidRPr="00FC578F">
        <w:rPr>
          <w:rFonts w:asciiTheme="majorHAnsi" w:hAnsiTheme="majorHAnsi"/>
          <w:b/>
          <w:i/>
          <w:sz w:val="20"/>
          <w:szCs w:val="20"/>
        </w:rPr>
        <w:t>no reason to object</w:t>
      </w:r>
    </w:p>
    <w:p w:rsidR="002E0E87" w:rsidRPr="00B10368" w:rsidRDefault="00B10368" w:rsidP="00B10368">
      <w:pPr>
        <w:spacing w:after="0"/>
        <w:rPr>
          <w:rFonts w:asciiTheme="majorHAnsi" w:hAnsiTheme="majorHAnsi"/>
          <w:b/>
          <w:i/>
          <w:sz w:val="20"/>
          <w:szCs w:val="20"/>
        </w:rPr>
      </w:pPr>
      <w:r>
        <w:rPr>
          <w:rFonts w:asciiTheme="majorHAnsi" w:hAnsiTheme="majorHAnsi"/>
          <w:b/>
          <w:i/>
          <w:sz w:val="20"/>
          <w:szCs w:val="20"/>
        </w:rPr>
        <w:tab/>
      </w:r>
      <w:r>
        <w:rPr>
          <w:rFonts w:asciiTheme="majorHAnsi" w:hAnsiTheme="majorHAnsi"/>
          <w:b/>
          <w:i/>
          <w:sz w:val="20"/>
          <w:szCs w:val="20"/>
        </w:rPr>
        <w:tab/>
      </w:r>
      <w:r w:rsidR="002E0E87" w:rsidRPr="00A51EC9">
        <w:rPr>
          <w:rFonts w:asciiTheme="majorHAnsi" w:hAnsiTheme="majorHAnsi"/>
          <w:b/>
          <w:sz w:val="20"/>
          <w:szCs w:val="20"/>
        </w:rPr>
        <w:t>DC/20/00359 – 38A Egremont St</w:t>
      </w:r>
    </w:p>
    <w:p w:rsidR="002E0E87" w:rsidRDefault="002E0E87" w:rsidP="002E0E87">
      <w:pPr>
        <w:spacing w:after="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t xml:space="preserve">Erection of 1no dwelling including alterations to access (following demolition of existing </w:t>
      </w:r>
      <w:r>
        <w:rPr>
          <w:rFonts w:asciiTheme="majorHAnsi" w:hAnsiTheme="majorHAnsi"/>
          <w:sz w:val="20"/>
          <w:szCs w:val="20"/>
        </w:rPr>
        <w:tab/>
      </w:r>
      <w:r>
        <w:rPr>
          <w:rFonts w:asciiTheme="majorHAnsi" w:hAnsiTheme="majorHAnsi"/>
          <w:sz w:val="20"/>
          <w:szCs w:val="20"/>
        </w:rPr>
        <w:tab/>
        <w:t>garage)</w:t>
      </w:r>
    </w:p>
    <w:p w:rsidR="002E0E87" w:rsidRPr="00FC578F" w:rsidRDefault="002E0E87" w:rsidP="00B10368">
      <w:pPr>
        <w:spacing w:after="0"/>
        <w:rPr>
          <w:rFonts w:asciiTheme="majorHAnsi" w:hAnsiTheme="majorHAnsi"/>
          <w:b/>
          <w:i/>
          <w:sz w:val="20"/>
          <w:szCs w:val="20"/>
        </w:rPr>
      </w:pPr>
      <w:r>
        <w:rPr>
          <w:rFonts w:asciiTheme="majorHAnsi" w:hAnsiTheme="majorHAnsi"/>
          <w:b/>
          <w:i/>
          <w:sz w:val="20"/>
          <w:szCs w:val="20"/>
        </w:rPr>
        <w:tab/>
      </w:r>
      <w:r>
        <w:rPr>
          <w:rFonts w:asciiTheme="majorHAnsi" w:hAnsiTheme="majorHAnsi"/>
          <w:b/>
          <w:i/>
          <w:sz w:val="20"/>
          <w:szCs w:val="20"/>
        </w:rPr>
        <w:tab/>
        <w:t xml:space="preserve">It was resolved to recommend - </w:t>
      </w:r>
      <w:r w:rsidRPr="00FC578F">
        <w:rPr>
          <w:rFonts w:asciiTheme="majorHAnsi" w:hAnsiTheme="majorHAnsi"/>
          <w:b/>
          <w:i/>
          <w:sz w:val="20"/>
          <w:szCs w:val="20"/>
        </w:rPr>
        <w:t>no reason to object</w:t>
      </w:r>
    </w:p>
    <w:p w:rsidR="002E0E87" w:rsidRDefault="00B10368" w:rsidP="002E0E87">
      <w:pPr>
        <w:spacing w:after="0"/>
        <w:rPr>
          <w:rFonts w:asciiTheme="majorHAnsi" w:hAnsiTheme="majorHAnsi"/>
          <w:b/>
          <w:sz w:val="20"/>
          <w:szCs w:val="20"/>
        </w:rPr>
      </w:pPr>
      <w:r>
        <w:rPr>
          <w:rFonts w:asciiTheme="majorHAnsi" w:hAnsiTheme="majorHAnsi"/>
          <w:b/>
          <w:sz w:val="20"/>
          <w:szCs w:val="20"/>
        </w:rPr>
        <w:tab/>
      </w:r>
      <w:r>
        <w:rPr>
          <w:rFonts w:asciiTheme="majorHAnsi" w:hAnsiTheme="majorHAnsi"/>
          <w:b/>
          <w:sz w:val="20"/>
          <w:szCs w:val="20"/>
        </w:rPr>
        <w:tab/>
      </w:r>
      <w:r w:rsidR="002E0E87" w:rsidRPr="00A51EC9">
        <w:rPr>
          <w:rFonts w:asciiTheme="majorHAnsi" w:hAnsiTheme="majorHAnsi"/>
          <w:b/>
          <w:sz w:val="20"/>
          <w:szCs w:val="20"/>
        </w:rPr>
        <w:t>DC/20/00409 – Fair Green House, 15 Fair Green</w:t>
      </w:r>
    </w:p>
    <w:p w:rsidR="002E0E87" w:rsidRDefault="002E0E87" w:rsidP="002E0E87">
      <w:pPr>
        <w:spacing w:after="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t>Notification for works to trees in conservation area – T1 beech – remove fell tree</w:t>
      </w:r>
    </w:p>
    <w:p w:rsidR="00B10368" w:rsidRDefault="002E0E87" w:rsidP="00B10368">
      <w:pPr>
        <w:spacing w:after="0"/>
        <w:rPr>
          <w:rFonts w:asciiTheme="majorHAnsi" w:hAnsiTheme="majorHAnsi"/>
          <w:b/>
          <w:i/>
          <w:sz w:val="20"/>
          <w:szCs w:val="20"/>
        </w:rPr>
      </w:pPr>
      <w:r>
        <w:rPr>
          <w:rFonts w:asciiTheme="majorHAnsi" w:hAnsiTheme="majorHAnsi"/>
          <w:b/>
          <w:i/>
          <w:sz w:val="20"/>
          <w:szCs w:val="20"/>
        </w:rPr>
        <w:tab/>
      </w:r>
      <w:r>
        <w:rPr>
          <w:rFonts w:asciiTheme="majorHAnsi" w:hAnsiTheme="majorHAnsi"/>
          <w:b/>
          <w:i/>
          <w:sz w:val="20"/>
          <w:szCs w:val="20"/>
        </w:rPr>
        <w:tab/>
        <w:t>It was resolved to recommend -</w:t>
      </w:r>
      <w:r w:rsidRPr="00FC578F">
        <w:rPr>
          <w:rFonts w:asciiTheme="majorHAnsi" w:hAnsiTheme="majorHAnsi"/>
          <w:b/>
          <w:i/>
          <w:sz w:val="20"/>
          <w:szCs w:val="20"/>
        </w:rPr>
        <w:t xml:space="preserve"> no reason to </w:t>
      </w:r>
      <w:r w:rsidR="00B10368">
        <w:rPr>
          <w:rFonts w:asciiTheme="majorHAnsi" w:hAnsiTheme="majorHAnsi"/>
          <w:b/>
          <w:i/>
          <w:sz w:val="20"/>
          <w:szCs w:val="20"/>
        </w:rPr>
        <w:t>object</w:t>
      </w:r>
    </w:p>
    <w:p w:rsidR="002E0E87" w:rsidRPr="00B10368" w:rsidRDefault="00B10368" w:rsidP="00B10368">
      <w:pPr>
        <w:spacing w:after="0"/>
        <w:rPr>
          <w:rFonts w:asciiTheme="majorHAnsi" w:hAnsiTheme="majorHAnsi"/>
          <w:b/>
          <w:i/>
          <w:sz w:val="20"/>
          <w:szCs w:val="20"/>
        </w:rPr>
      </w:pPr>
      <w:r>
        <w:rPr>
          <w:rFonts w:asciiTheme="majorHAnsi" w:hAnsiTheme="majorHAnsi"/>
          <w:b/>
          <w:i/>
          <w:sz w:val="20"/>
          <w:szCs w:val="20"/>
        </w:rPr>
        <w:tab/>
      </w:r>
      <w:r>
        <w:rPr>
          <w:rFonts w:asciiTheme="majorHAnsi" w:hAnsiTheme="majorHAnsi"/>
          <w:b/>
          <w:i/>
          <w:sz w:val="20"/>
          <w:szCs w:val="20"/>
        </w:rPr>
        <w:tab/>
      </w:r>
      <w:r w:rsidR="002E0E87" w:rsidRPr="00A51EC9">
        <w:rPr>
          <w:rFonts w:asciiTheme="majorHAnsi" w:hAnsiTheme="majorHAnsi"/>
          <w:b/>
          <w:sz w:val="20"/>
          <w:szCs w:val="20"/>
        </w:rPr>
        <w:t>DC/20/00408  Hi Tor, Skates Hill</w:t>
      </w:r>
    </w:p>
    <w:p w:rsidR="002E0E87" w:rsidRDefault="002E0E87" w:rsidP="002E0E87">
      <w:pPr>
        <w:spacing w:after="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t>Single storey front and rear extensions, garage conversion and internal alterations</w:t>
      </w:r>
    </w:p>
    <w:p w:rsidR="00B10368" w:rsidRDefault="002E0E87" w:rsidP="00B10368">
      <w:pPr>
        <w:spacing w:after="0"/>
        <w:rPr>
          <w:rFonts w:asciiTheme="majorHAnsi" w:hAnsiTheme="majorHAnsi"/>
          <w:b/>
          <w:i/>
          <w:sz w:val="20"/>
          <w:szCs w:val="20"/>
        </w:rPr>
      </w:pPr>
      <w:r>
        <w:rPr>
          <w:rFonts w:asciiTheme="majorHAnsi" w:hAnsiTheme="majorHAnsi"/>
          <w:b/>
          <w:i/>
          <w:sz w:val="20"/>
          <w:szCs w:val="20"/>
        </w:rPr>
        <w:tab/>
      </w:r>
      <w:r>
        <w:rPr>
          <w:rFonts w:asciiTheme="majorHAnsi" w:hAnsiTheme="majorHAnsi"/>
          <w:b/>
          <w:i/>
          <w:sz w:val="20"/>
          <w:szCs w:val="20"/>
        </w:rPr>
        <w:tab/>
        <w:t xml:space="preserve">It was resolved to recommend - </w:t>
      </w:r>
      <w:r w:rsidRPr="00FC578F">
        <w:rPr>
          <w:rFonts w:asciiTheme="majorHAnsi" w:hAnsiTheme="majorHAnsi"/>
          <w:b/>
          <w:i/>
          <w:sz w:val="20"/>
          <w:szCs w:val="20"/>
        </w:rPr>
        <w:t>no reason to object</w:t>
      </w:r>
    </w:p>
    <w:p w:rsidR="002E0E87" w:rsidRPr="00B10368" w:rsidRDefault="00B10368" w:rsidP="00B10368">
      <w:pPr>
        <w:spacing w:after="0"/>
        <w:rPr>
          <w:rFonts w:asciiTheme="majorHAnsi" w:hAnsiTheme="majorHAnsi"/>
          <w:b/>
          <w:i/>
          <w:sz w:val="20"/>
          <w:szCs w:val="20"/>
        </w:rPr>
      </w:pPr>
      <w:r>
        <w:rPr>
          <w:rFonts w:asciiTheme="majorHAnsi" w:hAnsiTheme="majorHAnsi"/>
          <w:b/>
          <w:i/>
          <w:sz w:val="20"/>
          <w:szCs w:val="20"/>
        </w:rPr>
        <w:tab/>
      </w:r>
      <w:r>
        <w:rPr>
          <w:rFonts w:asciiTheme="majorHAnsi" w:hAnsiTheme="majorHAnsi"/>
          <w:b/>
          <w:i/>
          <w:sz w:val="20"/>
          <w:szCs w:val="20"/>
        </w:rPr>
        <w:tab/>
      </w:r>
      <w:r w:rsidR="002E0E87">
        <w:rPr>
          <w:rFonts w:asciiTheme="majorHAnsi" w:hAnsiTheme="majorHAnsi"/>
          <w:b/>
          <w:sz w:val="20"/>
          <w:szCs w:val="20"/>
        </w:rPr>
        <w:t>DC</w:t>
      </w:r>
      <w:r w:rsidR="002E0E87" w:rsidRPr="00A51EC9">
        <w:rPr>
          <w:rFonts w:asciiTheme="majorHAnsi" w:hAnsiTheme="majorHAnsi"/>
          <w:b/>
          <w:sz w:val="20"/>
          <w:szCs w:val="20"/>
        </w:rPr>
        <w:t>/20/00427 – 6&amp;8 Angel Lane</w:t>
      </w:r>
    </w:p>
    <w:p w:rsidR="00B10368" w:rsidRDefault="00B10368" w:rsidP="00B10368">
      <w:pPr>
        <w:spacing w:after="0"/>
        <w:rPr>
          <w:rFonts w:asciiTheme="majorHAnsi" w:hAnsiTheme="majorHAnsi"/>
          <w:b/>
          <w:sz w:val="20"/>
          <w:szCs w:val="20"/>
        </w:rPr>
      </w:pPr>
      <w:r>
        <w:rPr>
          <w:rFonts w:asciiTheme="majorHAnsi" w:hAnsiTheme="majorHAnsi"/>
          <w:sz w:val="20"/>
          <w:szCs w:val="20"/>
        </w:rPr>
        <w:tab/>
      </w:r>
      <w:r>
        <w:rPr>
          <w:rFonts w:asciiTheme="majorHAnsi" w:hAnsiTheme="majorHAnsi"/>
          <w:sz w:val="20"/>
          <w:szCs w:val="20"/>
        </w:rPr>
        <w:tab/>
      </w:r>
      <w:r w:rsidR="002E0E87">
        <w:rPr>
          <w:rFonts w:asciiTheme="majorHAnsi" w:hAnsiTheme="majorHAnsi"/>
          <w:sz w:val="20"/>
          <w:szCs w:val="20"/>
        </w:rPr>
        <w:t xml:space="preserve">Erection of two storey and single storey rear extensions (following demolition of existing </w:t>
      </w:r>
      <w:r>
        <w:rPr>
          <w:rFonts w:asciiTheme="majorHAnsi" w:hAnsiTheme="majorHAnsi"/>
          <w:sz w:val="20"/>
          <w:szCs w:val="20"/>
        </w:rPr>
        <w:tab/>
      </w:r>
      <w:r>
        <w:rPr>
          <w:rFonts w:asciiTheme="majorHAnsi" w:hAnsiTheme="majorHAnsi"/>
          <w:sz w:val="20"/>
          <w:szCs w:val="20"/>
        </w:rPr>
        <w:tab/>
      </w:r>
      <w:r w:rsidR="002E0E87">
        <w:rPr>
          <w:rFonts w:asciiTheme="majorHAnsi" w:hAnsiTheme="majorHAnsi"/>
          <w:sz w:val="20"/>
          <w:szCs w:val="20"/>
        </w:rPr>
        <w:t>rear extensions)</w:t>
      </w:r>
      <w:r w:rsidR="002E0E87" w:rsidRPr="00FC578F">
        <w:rPr>
          <w:rFonts w:asciiTheme="majorHAnsi" w:hAnsiTheme="majorHAnsi"/>
          <w:b/>
          <w:sz w:val="20"/>
          <w:szCs w:val="20"/>
        </w:rPr>
        <w:t xml:space="preserve"> </w:t>
      </w:r>
    </w:p>
    <w:p w:rsidR="002E0E87" w:rsidRPr="00FC578F" w:rsidRDefault="00B10368" w:rsidP="00B10368">
      <w:pPr>
        <w:spacing w:after="0"/>
        <w:rPr>
          <w:rFonts w:asciiTheme="majorHAnsi" w:hAnsiTheme="majorHAnsi"/>
          <w:b/>
          <w:sz w:val="20"/>
          <w:szCs w:val="20"/>
        </w:rPr>
      </w:pPr>
      <w:r>
        <w:rPr>
          <w:rFonts w:asciiTheme="majorHAnsi" w:hAnsiTheme="majorHAnsi"/>
          <w:b/>
          <w:sz w:val="20"/>
          <w:szCs w:val="20"/>
        </w:rPr>
        <w:tab/>
      </w:r>
      <w:r>
        <w:rPr>
          <w:rFonts w:asciiTheme="majorHAnsi" w:hAnsiTheme="majorHAnsi"/>
          <w:b/>
          <w:sz w:val="20"/>
          <w:szCs w:val="20"/>
        </w:rPr>
        <w:tab/>
        <w:t>It was resolved to recommend -</w:t>
      </w:r>
      <w:r>
        <w:rPr>
          <w:rFonts w:asciiTheme="majorHAnsi" w:hAnsiTheme="majorHAnsi"/>
          <w:b/>
          <w:i/>
          <w:sz w:val="20"/>
          <w:szCs w:val="20"/>
        </w:rPr>
        <w:t>n</w:t>
      </w:r>
      <w:r w:rsidR="002E0E87" w:rsidRPr="00FC578F">
        <w:rPr>
          <w:rFonts w:asciiTheme="majorHAnsi" w:hAnsiTheme="majorHAnsi"/>
          <w:b/>
          <w:i/>
          <w:sz w:val="20"/>
          <w:szCs w:val="20"/>
        </w:rPr>
        <w:t>o reason to object</w:t>
      </w:r>
    </w:p>
    <w:p w:rsidR="00AA2F38" w:rsidRPr="00C60789" w:rsidRDefault="00B10368" w:rsidP="00C60789">
      <w:pPr>
        <w:spacing w:after="0"/>
        <w:rPr>
          <w:rFonts w:asciiTheme="majorHAnsi" w:hAnsiTheme="majorHAnsi"/>
        </w:rPr>
      </w:pPr>
      <w:r>
        <w:rPr>
          <w:rFonts w:asciiTheme="majorHAnsi" w:hAnsiTheme="majorHAnsi"/>
        </w:rPr>
        <w:tab/>
      </w:r>
      <w:r>
        <w:rPr>
          <w:rFonts w:asciiTheme="majorHAnsi" w:hAnsiTheme="majorHAnsi"/>
        </w:rPr>
        <w:tab/>
      </w:r>
      <w:r w:rsidR="00AA2F38">
        <w:rPr>
          <w:rFonts w:ascii="Cambria" w:hAnsi="Cambria"/>
          <w:b/>
        </w:rPr>
        <w:t xml:space="preserve">Granted </w:t>
      </w:r>
      <w:r w:rsidR="00AA2F38" w:rsidRPr="00186EA8">
        <w:rPr>
          <w:rFonts w:ascii="Cambria" w:hAnsi="Cambria"/>
          <w:b/>
        </w:rPr>
        <w:t xml:space="preserve"> applications:</w:t>
      </w:r>
    </w:p>
    <w:p w:rsidR="00417180" w:rsidRDefault="00AA2F38" w:rsidP="00417180">
      <w:pPr>
        <w:spacing w:after="0" w:line="240" w:lineRule="auto"/>
        <w:rPr>
          <w:rFonts w:ascii="Cambria" w:hAnsi="Cambria"/>
          <w:b/>
        </w:rPr>
      </w:pPr>
      <w:r>
        <w:rPr>
          <w:rFonts w:ascii="Cambria" w:hAnsi="Cambria"/>
          <w:b/>
        </w:rPr>
        <w:tab/>
      </w:r>
      <w:r>
        <w:rPr>
          <w:rFonts w:ascii="Cambria" w:hAnsi="Cambria"/>
          <w:b/>
        </w:rPr>
        <w:tab/>
      </w:r>
      <w:r w:rsidR="00417180">
        <w:rPr>
          <w:rFonts w:ascii="Cambria" w:hAnsi="Cambria"/>
          <w:b/>
        </w:rPr>
        <w:t>DC/19/05609 – Former Builders Yard, Drapery Common</w:t>
      </w:r>
    </w:p>
    <w:p w:rsidR="00417180" w:rsidRDefault="00417180" w:rsidP="00417180">
      <w:pPr>
        <w:spacing w:after="0" w:line="240" w:lineRule="auto"/>
        <w:rPr>
          <w:rFonts w:ascii="Cambria" w:hAnsi="Cambria"/>
        </w:rPr>
      </w:pPr>
      <w:r>
        <w:rPr>
          <w:rFonts w:ascii="Cambria" w:hAnsi="Cambria"/>
          <w:b/>
        </w:rPr>
        <w:tab/>
      </w:r>
      <w:r>
        <w:rPr>
          <w:rFonts w:ascii="Cambria" w:hAnsi="Cambria"/>
          <w:b/>
        </w:rPr>
        <w:tab/>
      </w:r>
      <w:r>
        <w:rPr>
          <w:rFonts w:ascii="Cambria" w:hAnsi="Cambria"/>
        </w:rPr>
        <w:t xml:space="preserve">Removal of variation following grant of DC/18/0262 dated 16/10/2018 </w:t>
      </w:r>
      <w:r>
        <w:rPr>
          <w:rFonts w:ascii="Cambria" w:hAnsi="Cambria"/>
        </w:rPr>
        <w:tab/>
      </w:r>
      <w:r>
        <w:rPr>
          <w:rFonts w:ascii="Cambria" w:hAnsi="Cambria"/>
        </w:rPr>
        <w:tab/>
      </w:r>
      <w:r>
        <w:rPr>
          <w:rFonts w:ascii="Cambria" w:hAnsi="Cambria"/>
        </w:rPr>
        <w:tab/>
        <w:t>– vary condition 15 (protection measures relating to trees)</w:t>
      </w:r>
    </w:p>
    <w:p w:rsidR="00417180" w:rsidRPr="003F30EA" w:rsidRDefault="00417180" w:rsidP="00417180">
      <w:pPr>
        <w:spacing w:after="0" w:line="240" w:lineRule="auto"/>
        <w:rPr>
          <w:rFonts w:ascii="Cambria" w:hAnsi="Cambria"/>
          <w:b/>
        </w:rPr>
      </w:pPr>
      <w:r>
        <w:rPr>
          <w:rFonts w:ascii="Cambria" w:hAnsi="Cambria"/>
        </w:rPr>
        <w:tab/>
      </w:r>
      <w:r>
        <w:rPr>
          <w:rFonts w:ascii="Cambria" w:hAnsi="Cambria"/>
        </w:rPr>
        <w:tab/>
      </w:r>
      <w:r w:rsidRPr="003F30EA">
        <w:rPr>
          <w:rFonts w:ascii="Cambria" w:hAnsi="Cambria"/>
          <w:b/>
        </w:rPr>
        <w:t>DC/19/05833 – St Andrews, Bells Lane</w:t>
      </w:r>
    </w:p>
    <w:p w:rsidR="00417180" w:rsidRDefault="00417180" w:rsidP="00417180">
      <w:pPr>
        <w:spacing w:after="0" w:line="240" w:lineRule="auto"/>
        <w:rPr>
          <w:rFonts w:ascii="Cambria" w:hAnsi="Cambria"/>
        </w:rPr>
      </w:pPr>
      <w:r>
        <w:rPr>
          <w:rFonts w:ascii="Cambria" w:hAnsi="Cambria"/>
        </w:rPr>
        <w:tab/>
      </w:r>
      <w:r>
        <w:rPr>
          <w:rFonts w:ascii="Cambria" w:hAnsi="Cambria"/>
        </w:rPr>
        <w:tab/>
        <w:t xml:space="preserve">Replacement of fascia, soffits, bargeboards, rainwater goods and door on </w:t>
      </w:r>
      <w:r>
        <w:rPr>
          <w:rFonts w:ascii="Cambria" w:hAnsi="Cambria"/>
        </w:rPr>
        <w:tab/>
      </w:r>
      <w:r>
        <w:rPr>
          <w:rFonts w:ascii="Cambria" w:hAnsi="Cambria"/>
        </w:rPr>
        <w:tab/>
      </w:r>
      <w:r>
        <w:rPr>
          <w:rFonts w:ascii="Cambria" w:hAnsi="Cambria"/>
        </w:rPr>
        <w:tab/>
        <w:t>front elevation</w:t>
      </w:r>
    </w:p>
    <w:p w:rsidR="00417180" w:rsidRPr="003F30EA" w:rsidRDefault="00417180" w:rsidP="00417180">
      <w:pPr>
        <w:spacing w:after="0" w:line="240" w:lineRule="auto"/>
        <w:rPr>
          <w:rFonts w:ascii="Cambria" w:hAnsi="Cambria"/>
          <w:b/>
        </w:rPr>
      </w:pPr>
      <w:r>
        <w:rPr>
          <w:rFonts w:ascii="Cambria" w:hAnsi="Cambria"/>
        </w:rPr>
        <w:tab/>
      </w:r>
      <w:r>
        <w:rPr>
          <w:rFonts w:ascii="Cambria" w:hAnsi="Cambria"/>
        </w:rPr>
        <w:tab/>
      </w:r>
      <w:r w:rsidRPr="003F30EA">
        <w:rPr>
          <w:rFonts w:ascii="Cambria" w:hAnsi="Cambria"/>
          <w:b/>
        </w:rPr>
        <w:t>DC/19/05961 – 43 Tye Green</w:t>
      </w:r>
    </w:p>
    <w:p w:rsidR="00417180" w:rsidRDefault="00417180" w:rsidP="00417180">
      <w:pPr>
        <w:spacing w:after="0" w:line="240" w:lineRule="auto"/>
        <w:rPr>
          <w:rFonts w:ascii="Cambria" w:hAnsi="Cambria"/>
        </w:rPr>
      </w:pPr>
      <w:r>
        <w:rPr>
          <w:rFonts w:ascii="Cambria" w:hAnsi="Cambria"/>
        </w:rPr>
        <w:tab/>
      </w:r>
      <w:r>
        <w:rPr>
          <w:rFonts w:ascii="Cambria" w:hAnsi="Cambria"/>
        </w:rPr>
        <w:tab/>
        <w:t xml:space="preserve">Works to trees in a conservation area – crown reduce by 30% Prunus T1, </w:t>
      </w:r>
      <w:r>
        <w:rPr>
          <w:rFonts w:ascii="Cambria" w:hAnsi="Cambria"/>
        </w:rPr>
        <w:tab/>
      </w:r>
      <w:r>
        <w:rPr>
          <w:rFonts w:ascii="Cambria" w:hAnsi="Cambria"/>
        </w:rPr>
        <w:tab/>
      </w:r>
      <w:r>
        <w:rPr>
          <w:rFonts w:ascii="Cambria" w:hAnsi="Cambria"/>
        </w:rPr>
        <w:tab/>
        <w:t>Acer trees T2 T3 T4 – BDC does not wish to object</w:t>
      </w:r>
    </w:p>
    <w:p w:rsidR="00417180" w:rsidRPr="00417180" w:rsidRDefault="00417180" w:rsidP="00417180">
      <w:pPr>
        <w:spacing w:after="0" w:line="240" w:lineRule="auto"/>
        <w:rPr>
          <w:rFonts w:ascii="Cambria" w:hAnsi="Cambria"/>
        </w:rPr>
      </w:pPr>
      <w:r>
        <w:rPr>
          <w:rFonts w:ascii="Cambria" w:hAnsi="Cambria"/>
        </w:rPr>
        <w:tab/>
      </w:r>
      <w:r>
        <w:rPr>
          <w:rFonts w:ascii="Cambria" w:hAnsi="Cambria"/>
        </w:rPr>
        <w:tab/>
      </w:r>
      <w:r w:rsidRPr="003F30EA">
        <w:rPr>
          <w:rFonts w:ascii="Cambria" w:hAnsi="Cambria"/>
          <w:b/>
        </w:rPr>
        <w:t>DC/20/00059 – Michaelmas House, Bells Lane</w:t>
      </w:r>
    </w:p>
    <w:p w:rsidR="00417180" w:rsidRDefault="00417180" w:rsidP="00417180">
      <w:pPr>
        <w:spacing w:after="0" w:line="240" w:lineRule="auto"/>
        <w:rPr>
          <w:rFonts w:ascii="Cambria" w:hAnsi="Cambria"/>
        </w:rPr>
      </w:pPr>
      <w:r>
        <w:rPr>
          <w:rFonts w:ascii="Cambria" w:hAnsi="Cambria"/>
        </w:rPr>
        <w:tab/>
      </w:r>
      <w:r>
        <w:rPr>
          <w:rFonts w:ascii="Cambria" w:hAnsi="Cambria"/>
        </w:rPr>
        <w:tab/>
        <w:t xml:space="preserve">Works to trees in a conservation area – T1 (silver birch) – fell and grind </w:t>
      </w:r>
      <w:r>
        <w:rPr>
          <w:rFonts w:ascii="Cambria" w:hAnsi="Cambria"/>
        </w:rPr>
        <w:tab/>
      </w:r>
      <w:r>
        <w:rPr>
          <w:rFonts w:ascii="Cambria" w:hAnsi="Cambria"/>
        </w:rPr>
        <w:tab/>
      </w:r>
      <w:r>
        <w:rPr>
          <w:rFonts w:ascii="Cambria" w:hAnsi="Cambria"/>
        </w:rPr>
        <w:tab/>
        <w:t>stump</w:t>
      </w:r>
      <w:r>
        <w:rPr>
          <w:rFonts w:ascii="Cambria" w:hAnsi="Cambria"/>
        </w:rPr>
        <w:tab/>
      </w:r>
    </w:p>
    <w:p w:rsidR="00417180" w:rsidRPr="00102BD5" w:rsidRDefault="00417180" w:rsidP="00417180">
      <w:pPr>
        <w:spacing w:after="0" w:line="240" w:lineRule="auto"/>
        <w:rPr>
          <w:rFonts w:ascii="Cambria" w:hAnsi="Cambria"/>
          <w:b/>
        </w:rPr>
      </w:pPr>
      <w:r>
        <w:rPr>
          <w:rFonts w:ascii="Cambria" w:hAnsi="Cambria"/>
        </w:rPr>
        <w:tab/>
      </w:r>
      <w:r>
        <w:rPr>
          <w:rFonts w:ascii="Cambria" w:hAnsi="Cambria"/>
        </w:rPr>
        <w:tab/>
      </w:r>
      <w:r w:rsidRPr="00102BD5">
        <w:rPr>
          <w:rFonts w:ascii="Cambria" w:hAnsi="Cambria"/>
          <w:b/>
        </w:rPr>
        <w:t>Appeals:</w:t>
      </w:r>
    </w:p>
    <w:p w:rsidR="00417180" w:rsidRPr="00102BD5" w:rsidRDefault="00417180" w:rsidP="00417180">
      <w:pPr>
        <w:spacing w:after="0" w:line="240" w:lineRule="auto"/>
        <w:rPr>
          <w:rFonts w:ascii="Cambria" w:hAnsi="Cambria"/>
          <w:b/>
        </w:rPr>
      </w:pPr>
      <w:r>
        <w:rPr>
          <w:rFonts w:ascii="Cambria" w:hAnsi="Cambria"/>
        </w:rPr>
        <w:tab/>
      </w:r>
      <w:r>
        <w:rPr>
          <w:rFonts w:ascii="Cambria" w:hAnsi="Cambria"/>
        </w:rPr>
        <w:tab/>
      </w:r>
      <w:r w:rsidRPr="00102BD5">
        <w:rPr>
          <w:rFonts w:ascii="Cambria" w:hAnsi="Cambria"/>
          <w:b/>
        </w:rPr>
        <w:t>DC/19/03320 – Brookfield Place, Low St</w:t>
      </w:r>
    </w:p>
    <w:p w:rsidR="00417180" w:rsidRPr="003F30EA" w:rsidRDefault="00417180" w:rsidP="00417180">
      <w:pPr>
        <w:spacing w:after="0" w:line="240" w:lineRule="auto"/>
        <w:rPr>
          <w:rFonts w:ascii="Cambria" w:hAnsi="Cambria"/>
        </w:rPr>
      </w:pPr>
      <w:r>
        <w:rPr>
          <w:rFonts w:ascii="Cambria" w:hAnsi="Cambria"/>
        </w:rPr>
        <w:tab/>
      </w:r>
      <w:r>
        <w:rPr>
          <w:rFonts w:ascii="Cambria" w:hAnsi="Cambria"/>
        </w:rPr>
        <w:tab/>
        <w:t xml:space="preserve">Outline planning application (some matters reserved – access, </w:t>
      </w:r>
      <w:r>
        <w:rPr>
          <w:rFonts w:ascii="Cambria" w:hAnsi="Cambria"/>
        </w:rPr>
        <w:tab/>
      </w:r>
      <w:r>
        <w:rPr>
          <w:rFonts w:ascii="Cambria" w:hAnsi="Cambria"/>
        </w:rPr>
        <w:tab/>
      </w:r>
      <w:r>
        <w:rPr>
          <w:rFonts w:ascii="Cambria" w:hAnsi="Cambria"/>
        </w:rPr>
        <w:tab/>
      </w:r>
      <w:r>
        <w:rPr>
          <w:rFonts w:ascii="Cambria" w:hAnsi="Cambria"/>
        </w:rPr>
        <w:tab/>
        <w:t xml:space="preserve">landscaping and layout to be considered) – erection of 2no detached </w:t>
      </w:r>
      <w:r>
        <w:rPr>
          <w:rFonts w:ascii="Cambria" w:hAnsi="Cambria"/>
        </w:rPr>
        <w:tab/>
      </w:r>
      <w:r>
        <w:rPr>
          <w:rFonts w:ascii="Cambria" w:hAnsi="Cambria"/>
        </w:rPr>
        <w:tab/>
      </w:r>
      <w:r>
        <w:rPr>
          <w:rFonts w:ascii="Cambria" w:hAnsi="Cambria"/>
        </w:rPr>
        <w:tab/>
      </w:r>
      <w:r>
        <w:rPr>
          <w:rFonts w:ascii="Cambria" w:hAnsi="Cambria"/>
        </w:rPr>
        <w:tab/>
        <w:t>dwellings, garages and new access</w:t>
      </w:r>
    </w:p>
    <w:p w:rsidR="00C60789" w:rsidRDefault="00C60789" w:rsidP="007D0E3B">
      <w:pPr>
        <w:spacing w:after="0" w:line="240" w:lineRule="auto"/>
        <w:rPr>
          <w:rFonts w:ascii="Cambria" w:hAnsi="Cambria"/>
        </w:rPr>
      </w:pPr>
      <w:r>
        <w:rPr>
          <w:rFonts w:ascii="Cambria" w:hAnsi="Cambria"/>
          <w:b/>
        </w:rPr>
        <w:lastRenderedPageBreak/>
        <w:tab/>
      </w:r>
    </w:p>
    <w:p w:rsidR="00286302" w:rsidRPr="0096609E" w:rsidRDefault="00286302" w:rsidP="00C60789">
      <w:pPr>
        <w:spacing w:after="0" w:line="240" w:lineRule="auto"/>
        <w:rPr>
          <w:rFonts w:ascii="Cambria" w:hAnsi="Cambria"/>
        </w:rPr>
      </w:pPr>
    </w:p>
    <w:p w:rsidR="00781EFB" w:rsidRDefault="007150D1" w:rsidP="00C60789">
      <w:pPr>
        <w:spacing w:after="0"/>
        <w:rPr>
          <w:rFonts w:ascii="Cambria" w:hAnsi="Cambria"/>
          <w:b/>
        </w:rPr>
      </w:pPr>
      <w:r>
        <w:rPr>
          <w:rFonts w:ascii="Cambria" w:hAnsi="Cambria"/>
          <w:b/>
        </w:rPr>
        <w:t>08.02</w:t>
      </w:r>
      <w:r w:rsidR="00781EFB" w:rsidRPr="00781EFB">
        <w:rPr>
          <w:rFonts w:ascii="Cambria" w:hAnsi="Cambria"/>
          <w:b/>
        </w:rPr>
        <w:t xml:space="preserve">  Public question time</w:t>
      </w:r>
    </w:p>
    <w:p w:rsidR="007150D1" w:rsidRDefault="007150D1" w:rsidP="00C60789">
      <w:pPr>
        <w:spacing w:after="0"/>
        <w:rPr>
          <w:rFonts w:ascii="Cambria" w:hAnsi="Cambria"/>
        </w:rPr>
      </w:pPr>
      <w:r w:rsidRPr="007150D1">
        <w:rPr>
          <w:rFonts w:ascii="Cambria" w:hAnsi="Cambria"/>
        </w:rPr>
        <w:t xml:space="preserve">It was asked if the Parish Council would be interested in </w:t>
      </w:r>
      <w:r>
        <w:rPr>
          <w:rFonts w:ascii="Cambria" w:hAnsi="Cambria"/>
        </w:rPr>
        <w:t>arranging a public meeting with representatives from the St Giles Trust who offer education regarding drugs and County Lines.  Harriet North has offered to organise this.  It was agreed a Thursday evening would be suitable.</w:t>
      </w:r>
    </w:p>
    <w:p w:rsidR="007150D1" w:rsidRDefault="004874E8" w:rsidP="00C60789">
      <w:pPr>
        <w:spacing w:after="0"/>
        <w:rPr>
          <w:rFonts w:ascii="Cambria" w:hAnsi="Cambria"/>
        </w:rPr>
      </w:pPr>
      <w:r>
        <w:rPr>
          <w:rFonts w:ascii="Cambria" w:hAnsi="Cambria"/>
        </w:rPr>
        <w:t>It was asked if the hedge between</w:t>
      </w:r>
      <w:r w:rsidR="007150D1">
        <w:rPr>
          <w:rFonts w:ascii="Cambria" w:hAnsi="Cambria"/>
        </w:rPr>
        <w:t xml:space="preserve"> the skate</w:t>
      </w:r>
      <w:r>
        <w:rPr>
          <w:rFonts w:ascii="Cambria" w:hAnsi="Cambria"/>
        </w:rPr>
        <w:t xml:space="preserve"> </w:t>
      </w:r>
      <w:r w:rsidR="007150D1">
        <w:rPr>
          <w:rFonts w:ascii="Cambria" w:hAnsi="Cambria"/>
        </w:rPr>
        <w:t xml:space="preserve">park </w:t>
      </w:r>
      <w:r>
        <w:rPr>
          <w:rFonts w:ascii="Cambria" w:hAnsi="Cambria"/>
        </w:rPr>
        <w:t xml:space="preserve">and the farmer’s field </w:t>
      </w:r>
      <w:r w:rsidR="007150D1">
        <w:rPr>
          <w:rFonts w:ascii="Cambria" w:hAnsi="Cambria"/>
        </w:rPr>
        <w:t xml:space="preserve">could be lowered to make the </w:t>
      </w:r>
      <w:r>
        <w:rPr>
          <w:rFonts w:ascii="Cambria" w:hAnsi="Cambria"/>
        </w:rPr>
        <w:t xml:space="preserve">skate </w:t>
      </w:r>
      <w:r w:rsidR="007150D1">
        <w:rPr>
          <w:rFonts w:ascii="Cambria" w:hAnsi="Cambria"/>
        </w:rPr>
        <w:t xml:space="preserve">park more visible.  </w:t>
      </w:r>
      <w:r>
        <w:rPr>
          <w:rFonts w:ascii="Cambria" w:hAnsi="Cambria"/>
        </w:rPr>
        <w:t>It was agreed that the playing field committee would need to be asked about this.  If the hedge was to be lowered this would need to be done by 1</w:t>
      </w:r>
      <w:r w:rsidRPr="004874E8">
        <w:rPr>
          <w:rFonts w:ascii="Cambria" w:hAnsi="Cambria"/>
          <w:vertAlign w:val="superscript"/>
        </w:rPr>
        <w:t>st</w:t>
      </w:r>
      <w:r>
        <w:rPr>
          <w:rFonts w:ascii="Cambria" w:hAnsi="Cambria"/>
        </w:rPr>
        <w:t xml:space="preserve"> March due to nesting birds.</w:t>
      </w:r>
    </w:p>
    <w:p w:rsidR="007150D1" w:rsidRPr="007150D1" w:rsidRDefault="007150D1" w:rsidP="00C60789">
      <w:pPr>
        <w:spacing w:after="0"/>
        <w:rPr>
          <w:rFonts w:ascii="Cambria" w:hAnsi="Cambria"/>
        </w:rPr>
      </w:pPr>
    </w:p>
    <w:p w:rsidR="00781EFB" w:rsidRDefault="0043309F" w:rsidP="00781EFB">
      <w:pPr>
        <w:spacing w:after="0" w:line="240" w:lineRule="auto"/>
        <w:rPr>
          <w:rFonts w:ascii="Cambria" w:hAnsi="Cambria"/>
          <w:b/>
        </w:rPr>
      </w:pPr>
      <w:r>
        <w:rPr>
          <w:rFonts w:ascii="Cambria" w:hAnsi="Cambria"/>
          <w:b/>
        </w:rPr>
        <w:t>09.02</w:t>
      </w:r>
      <w:r w:rsidR="00781EFB" w:rsidRPr="00781EFB">
        <w:rPr>
          <w:rFonts w:ascii="Cambria" w:hAnsi="Cambria"/>
          <w:b/>
        </w:rPr>
        <w:t xml:space="preserve">  Accounts for approval</w:t>
      </w:r>
    </w:p>
    <w:tbl>
      <w:tblPr>
        <w:tblW w:w="15338" w:type="dxa"/>
        <w:tblInd w:w="108" w:type="dxa"/>
        <w:tblLook w:val="04A0"/>
      </w:tblPr>
      <w:tblGrid>
        <w:gridCol w:w="7938"/>
        <w:gridCol w:w="1220"/>
        <w:gridCol w:w="4649"/>
        <w:gridCol w:w="1531"/>
      </w:tblGrid>
      <w:tr w:rsidR="006B4AE6" w:rsidRPr="006B4AE6" w:rsidTr="00B464AB">
        <w:trPr>
          <w:trHeight w:val="260"/>
        </w:trPr>
        <w:tc>
          <w:tcPr>
            <w:tcW w:w="13807" w:type="dxa"/>
            <w:gridSpan w:val="3"/>
            <w:shd w:val="clear" w:color="auto" w:fill="auto"/>
            <w:noWrap/>
            <w:vAlign w:val="bottom"/>
            <w:hideMark/>
          </w:tcPr>
          <w:p w:rsidR="006B4AE6" w:rsidRDefault="00FF6BD6" w:rsidP="0043309F">
            <w:pPr>
              <w:spacing w:after="0" w:line="240" w:lineRule="auto"/>
              <w:ind w:hanging="108"/>
              <w:rPr>
                <w:rFonts w:ascii="Cambria" w:eastAsia="Times New Roman" w:hAnsi="Cambria" w:cs="Arial"/>
                <w:sz w:val="20"/>
                <w:szCs w:val="20"/>
                <w:lang w:eastAsia="en-GB"/>
              </w:rPr>
            </w:pPr>
            <w:r>
              <w:rPr>
                <w:rFonts w:ascii="Cambria" w:eastAsia="Times New Roman" w:hAnsi="Cambria" w:cs="Arial"/>
                <w:sz w:val="20"/>
                <w:szCs w:val="20"/>
                <w:lang w:eastAsia="en-GB"/>
              </w:rPr>
              <w:t>J Russell Concrete - £628.80</w:t>
            </w:r>
          </w:p>
          <w:p w:rsidR="00FF6BD6" w:rsidRDefault="00FF6BD6" w:rsidP="0043309F">
            <w:pPr>
              <w:spacing w:after="0" w:line="240" w:lineRule="auto"/>
              <w:ind w:hanging="108"/>
              <w:rPr>
                <w:rFonts w:ascii="Cambria" w:eastAsia="Times New Roman" w:hAnsi="Cambria" w:cs="Arial"/>
                <w:sz w:val="20"/>
                <w:szCs w:val="20"/>
                <w:lang w:eastAsia="en-GB"/>
              </w:rPr>
            </w:pPr>
            <w:r>
              <w:rPr>
                <w:rFonts w:ascii="Cambria" w:eastAsia="Times New Roman" w:hAnsi="Cambria" w:cs="Arial"/>
                <w:sz w:val="20"/>
                <w:szCs w:val="20"/>
                <w:lang w:eastAsia="en-GB"/>
              </w:rPr>
              <w:t>A southgate (digger hire) - £133.97</w:t>
            </w:r>
          </w:p>
          <w:p w:rsidR="00FF6BD6" w:rsidRDefault="00FF6BD6" w:rsidP="0043309F">
            <w:pPr>
              <w:spacing w:after="0" w:line="240" w:lineRule="auto"/>
              <w:ind w:hanging="108"/>
              <w:rPr>
                <w:rFonts w:ascii="Cambria" w:eastAsia="Times New Roman" w:hAnsi="Cambria" w:cs="Arial"/>
                <w:sz w:val="20"/>
                <w:szCs w:val="20"/>
                <w:lang w:eastAsia="en-GB"/>
              </w:rPr>
            </w:pPr>
            <w:r>
              <w:rPr>
                <w:rFonts w:ascii="Cambria" w:eastAsia="Times New Roman" w:hAnsi="Cambria" w:cs="Arial"/>
                <w:sz w:val="20"/>
                <w:szCs w:val="20"/>
                <w:lang w:eastAsia="en-GB"/>
              </w:rPr>
              <w:t>N Hayward (gutter repair) - £114</w:t>
            </w:r>
          </w:p>
          <w:p w:rsidR="000461B3" w:rsidRDefault="000461B3" w:rsidP="0043309F">
            <w:pPr>
              <w:spacing w:after="0" w:line="240" w:lineRule="auto"/>
              <w:ind w:hanging="108"/>
              <w:rPr>
                <w:rFonts w:ascii="Cambria" w:eastAsia="Times New Roman" w:hAnsi="Cambria" w:cs="Arial"/>
                <w:sz w:val="20"/>
                <w:szCs w:val="20"/>
                <w:lang w:eastAsia="en-GB"/>
              </w:rPr>
            </w:pPr>
          </w:p>
          <w:p w:rsidR="000461B3" w:rsidRPr="000461B3" w:rsidRDefault="000461B3" w:rsidP="000461B3">
            <w:pPr>
              <w:spacing w:after="0" w:line="240" w:lineRule="auto"/>
              <w:ind w:left="-108"/>
              <w:rPr>
                <w:rFonts w:ascii="Cambria" w:eastAsia="Times New Roman" w:hAnsi="Cambria" w:cs="Arial"/>
                <w:b/>
                <w:lang w:eastAsia="en-GB"/>
              </w:rPr>
            </w:pPr>
            <w:r w:rsidRPr="000461B3">
              <w:rPr>
                <w:rFonts w:ascii="Cambria" w:eastAsia="Times New Roman" w:hAnsi="Cambria" w:cs="Arial"/>
                <w:b/>
                <w:lang w:eastAsia="en-GB"/>
              </w:rPr>
              <w:t>10.02  Reports from working groups</w:t>
            </w:r>
          </w:p>
          <w:p w:rsidR="00FC75DF" w:rsidRDefault="000461B3" w:rsidP="000461B3">
            <w:pPr>
              <w:spacing w:after="0" w:line="240" w:lineRule="auto"/>
              <w:ind w:left="-108" w:right="-5103"/>
              <w:rPr>
                <w:rFonts w:ascii="Cambria" w:eastAsia="Times New Roman" w:hAnsi="Cambria" w:cs="Arial"/>
                <w:lang w:eastAsia="en-GB"/>
              </w:rPr>
            </w:pPr>
            <w:r w:rsidRPr="000461B3">
              <w:rPr>
                <w:rFonts w:ascii="Cambria" w:eastAsia="Times New Roman" w:hAnsi="Cambria" w:cs="Arial"/>
                <w:b/>
                <w:lang w:eastAsia="en-GB"/>
              </w:rPr>
              <w:t>Cemetery</w:t>
            </w:r>
            <w:r w:rsidRPr="000461B3">
              <w:rPr>
                <w:rFonts w:ascii="Cambria" w:eastAsia="Times New Roman" w:hAnsi="Cambria" w:cs="Arial"/>
                <w:lang w:eastAsia="en-GB"/>
              </w:rPr>
              <w:t xml:space="preserve"> – </w:t>
            </w:r>
          </w:p>
          <w:p w:rsidR="000461B3" w:rsidRDefault="00FC75DF" w:rsidP="000461B3">
            <w:pPr>
              <w:spacing w:after="0" w:line="240" w:lineRule="auto"/>
              <w:ind w:left="-108" w:right="-5103"/>
              <w:rPr>
                <w:rFonts w:ascii="Cambria" w:eastAsia="Times New Roman" w:hAnsi="Cambria" w:cs="Arial"/>
                <w:lang w:eastAsia="en-GB"/>
              </w:rPr>
            </w:pPr>
            <w:r>
              <w:rPr>
                <w:rFonts w:ascii="Cambria" w:eastAsia="Times New Roman" w:hAnsi="Cambria" w:cs="Arial"/>
                <w:lang w:eastAsia="en-GB"/>
              </w:rPr>
              <w:t>A</w:t>
            </w:r>
            <w:r w:rsidR="000461B3" w:rsidRPr="000461B3">
              <w:rPr>
                <w:rFonts w:ascii="Cambria" w:eastAsia="Times New Roman" w:hAnsi="Cambria" w:cs="Arial"/>
                <w:lang w:eastAsia="en-GB"/>
              </w:rPr>
              <w:t xml:space="preserve"> date is to be arra</w:t>
            </w:r>
            <w:r w:rsidR="000461B3">
              <w:rPr>
                <w:rFonts w:ascii="Cambria" w:eastAsia="Times New Roman" w:hAnsi="Cambria" w:cs="Arial"/>
                <w:lang w:eastAsia="en-GB"/>
              </w:rPr>
              <w:t>n</w:t>
            </w:r>
            <w:r w:rsidR="000461B3" w:rsidRPr="000461B3">
              <w:rPr>
                <w:rFonts w:ascii="Cambria" w:eastAsia="Times New Roman" w:hAnsi="Cambria" w:cs="Arial"/>
                <w:lang w:eastAsia="en-GB"/>
              </w:rPr>
              <w:t>ged to tidy</w:t>
            </w:r>
            <w:r w:rsidR="000461B3">
              <w:rPr>
                <w:rFonts w:ascii="Cambria" w:eastAsia="Times New Roman" w:hAnsi="Cambria" w:cs="Arial"/>
                <w:lang w:eastAsia="en-GB"/>
              </w:rPr>
              <w:t xml:space="preserve"> </w:t>
            </w:r>
            <w:r w:rsidR="000461B3" w:rsidRPr="000461B3">
              <w:rPr>
                <w:rFonts w:ascii="Cambria" w:eastAsia="Times New Roman" w:hAnsi="Cambria" w:cs="Arial"/>
                <w:lang w:eastAsia="en-GB"/>
              </w:rPr>
              <w:t>and risk</w:t>
            </w:r>
            <w:r w:rsidR="000461B3">
              <w:rPr>
                <w:rFonts w:ascii="Cambria" w:eastAsia="Times New Roman" w:hAnsi="Cambria" w:cs="Arial"/>
                <w:lang w:eastAsia="en-GB"/>
              </w:rPr>
              <w:t xml:space="preserve"> </w:t>
            </w:r>
            <w:r w:rsidR="000461B3" w:rsidRPr="000461B3">
              <w:rPr>
                <w:rFonts w:ascii="Cambria" w:eastAsia="Times New Roman" w:hAnsi="Cambria" w:cs="Arial"/>
                <w:lang w:eastAsia="en-GB"/>
              </w:rPr>
              <w:t>assess graves.</w:t>
            </w:r>
          </w:p>
          <w:p w:rsidR="000461B3" w:rsidRPr="006B4AE6" w:rsidRDefault="000461B3" w:rsidP="000461B3">
            <w:pPr>
              <w:spacing w:after="0" w:line="240" w:lineRule="auto"/>
              <w:ind w:left="-108" w:right="-5103"/>
              <w:rPr>
                <w:rFonts w:ascii="Cambria" w:eastAsia="Times New Roman" w:hAnsi="Cambria" w:cs="Arial"/>
                <w:sz w:val="20"/>
                <w:szCs w:val="20"/>
                <w:lang w:eastAsia="en-GB"/>
              </w:rPr>
            </w:pPr>
            <w:r>
              <w:rPr>
                <w:rFonts w:ascii="Cambria" w:eastAsia="Times New Roman" w:hAnsi="Cambria" w:cs="Arial"/>
                <w:b/>
                <w:lang w:eastAsia="en-GB"/>
              </w:rPr>
              <w:t xml:space="preserve">Finance </w:t>
            </w:r>
            <w:r w:rsidRPr="000461B3">
              <w:rPr>
                <w:rFonts w:ascii="Cambria" w:eastAsia="Times New Roman" w:hAnsi="Cambria" w:cs="Arial"/>
                <w:sz w:val="20"/>
                <w:szCs w:val="20"/>
                <w:lang w:eastAsia="en-GB"/>
              </w:rPr>
              <w:t>-</w:t>
            </w: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3634D0" w:rsidRDefault="00B464AB" w:rsidP="003634D0">
            <w:pPr>
              <w:spacing w:after="0"/>
              <w:ind w:left="-108"/>
              <w:rPr>
                <w:rFonts w:asciiTheme="majorHAnsi" w:hAnsiTheme="majorHAnsi"/>
                <w:b/>
              </w:rPr>
            </w:pPr>
            <w:r w:rsidRPr="00C5513D">
              <w:rPr>
                <w:rFonts w:asciiTheme="majorHAnsi" w:hAnsiTheme="majorHAnsi"/>
                <w:b/>
              </w:rPr>
              <w:t>Budget figures</w:t>
            </w:r>
          </w:p>
          <w:p w:rsidR="003634D0" w:rsidRDefault="00B464AB" w:rsidP="003634D0">
            <w:pPr>
              <w:spacing w:after="0"/>
              <w:ind w:left="-108"/>
              <w:rPr>
                <w:rFonts w:asciiTheme="majorHAnsi" w:hAnsiTheme="majorHAnsi"/>
                <w:b/>
              </w:rPr>
            </w:pPr>
            <w:r>
              <w:rPr>
                <w:rFonts w:asciiTheme="majorHAnsi" w:hAnsiTheme="majorHAnsi"/>
              </w:rPr>
              <w:t xml:space="preserve">These appear to be in order.  </w:t>
            </w:r>
          </w:p>
          <w:p w:rsidR="003634D0" w:rsidRDefault="00B464AB" w:rsidP="003634D0">
            <w:pPr>
              <w:spacing w:after="0"/>
              <w:ind w:left="-108"/>
              <w:rPr>
                <w:rFonts w:asciiTheme="majorHAnsi" w:hAnsiTheme="majorHAnsi"/>
                <w:b/>
              </w:rPr>
            </w:pPr>
            <w:r>
              <w:rPr>
                <w:rFonts w:asciiTheme="majorHAnsi" w:hAnsiTheme="majorHAnsi"/>
              </w:rPr>
              <w:t>Professional fees are showing over budget due to expenditure on architect fees.  Plus there is additional spending on essential play park repairs.</w:t>
            </w:r>
          </w:p>
          <w:p w:rsidR="003634D0" w:rsidRDefault="00B464AB" w:rsidP="003634D0">
            <w:pPr>
              <w:spacing w:after="0"/>
              <w:ind w:left="-108"/>
              <w:rPr>
                <w:rFonts w:asciiTheme="majorHAnsi" w:hAnsiTheme="majorHAnsi"/>
                <w:b/>
              </w:rPr>
            </w:pPr>
            <w:r w:rsidRPr="00F6263B">
              <w:rPr>
                <w:rFonts w:asciiTheme="majorHAnsi" w:hAnsiTheme="majorHAnsi"/>
                <w:b/>
                <w:i/>
              </w:rPr>
              <w:t>It</w:t>
            </w:r>
            <w:r>
              <w:rPr>
                <w:rFonts w:asciiTheme="majorHAnsi" w:hAnsiTheme="majorHAnsi"/>
                <w:b/>
                <w:i/>
              </w:rPr>
              <w:t xml:space="preserve"> was resolved </w:t>
            </w:r>
            <w:r>
              <w:rPr>
                <w:rFonts w:asciiTheme="majorHAnsi" w:hAnsiTheme="majorHAnsi"/>
              </w:rPr>
              <w:t>to approve the budget figures.</w:t>
            </w:r>
          </w:p>
          <w:p w:rsidR="003634D0" w:rsidRDefault="00B464AB" w:rsidP="003634D0">
            <w:pPr>
              <w:spacing w:after="0"/>
              <w:ind w:left="-108"/>
              <w:rPr>
                <w:rFonts w:asciiTheme="majorHAnsi" w:hAnsiTheme="majorHAnsi"/>
                <w:b/>
              </w:rPr>
            </w:pPr>
            <w:r w:rsidRPr="000E4869">
              <w:rPr>
                <w:rFonts w:asciiTheme="majorHAnsi" w:hAnsiTheme="majorHAnsi"/>
                <w:b/>
              </w:rPr>
              <w:t>Purchase of dog/litter bins</w:t>
            </w:r>
          </w:p>
          <w:p w:rsidR="003634D0" w:rsidRDefault="00B464AB" w:rsidP="003634D0">
            <w:pPr>
              <w:spacing w:after="0"/>
              <w:ind w:left="-108"/>
              <w:rPr>
                <w:rFonts w:asciiTheme="majorHAnsi" w:hAnsiTheme="majorHAnsi"/>
                <w:b/>
              </w:rPr>
            </w:pPr>
            <w:r w:rsidRPr="000E4869">
              <w:rPr>
                <w:rFonts w:asciiTheme="majorHAnsi" w:hAnsiTheme="majorHAnsi"/>
                <w:b/>
                <w:i/>
              </w:rPr>
              <w:t xml:space="preserve">It </w:t>
            </w:r>
            <w:r w:rsidR="003634D0">
              <w:rPr>
                <w:rFonts w:asciiTheme="majorHAnsi" w:hAnsiTheme="majorHAnsi"/>
                <w:b/>
                <w:i/>
              </w:rPr>
              <w:t xml:space="preserve">was resolved </w:t>
            </w:r>
            <w:r>
              <w:rPr>
                <w:rFonts w:asciiTheme="majorHAnsi" w:hAnsiTheme="majorHAnsi"/>
              </w:rPr>
              <w:t>to purchase 8no dog bins at a cost of £1080 plus VAT and 4no litter bins at a cost of £940 plus VAT.  Additional purchases may be made if necessary to utilise delivery costs.</w:t>
            </w:r>
          </w:p>
          <w:p w:rsidR="003634D0" w:rsidRDefault="00B464AB" w:rsidP="003634D0">
            <w:pPr>
              <w:spacing w:after="0"/>
              <w:ind w:left="-108"/>
              <w:rPr>
                <w:rFonts w:asciiTheme="majorHAnsi" w:hAnsiTheme="majorHAnsi"/>
                <w:b/>
              </w:rPr>
            </w:pPr>
            <w:r w:rsidRPr="000E4869">
              <w:rPr>
                <w:rFonts w:asciiTheme="majorHAnsi" w:hAnsiTheme="majorHAnsi"/>
                <w:b/>
              </w:rPr>
              <w:t>Solar lightin</w:t>
            </w:r>
            <w:r w:rsidR="003634D0">
              <w:rPr>
                <w:rFonts w:asciiTheme="majorHAnsi" w:hAnsiTheme="majorHAnsi"/>
                <w:b/>
              </w:rPr>
              <w:t>g</w:t>
            </w:r>
          </w:p>
          <w:p w:rsidR="003634D0" w:rsidRDefault="003634D0" w:rsidP="003634D0">
            <w:pPr>
              <w:spacing w:after="0"/>
              <w:ind w:left="-108"/>
              <w:rPr>
                <w:rFonts w:asciiTheme="majorHAnsi" w:hAnsiTheme="majorHAnsi"/>
              </w:rPr>
            </w:pPr>
            <w:r>
              <w:rPr>
                <w:rFonts w:asciiTheme="majorHAnsi" w:hAnsiTheme="majorHAnsi"/>
                <w:b/>
                <w:i/>
              </w:rPr>
              <w:t>It was resolved</w:t>
            </w:r>
            <w:r w:rsidR="00B464AB">
              <w:rPr>
                <w:rFonts w:asciiTheme="majorHAnsi" w:hAnsiTheme="majorHAnsi"/>
              </w:rPr>
              <w:t xml:space="preserve"> to purchase two solar lights for the youth shelter at a cost of £60</w:t>
            </w:r>
          </w:p>
          <w:p w:rsidR="003634D0" w:rsidRDefault="00B464AB" w:rsidP="003634D0">
            <w:pPr>
              <w:spacing w:after="0"/>
              <w:ind w:left="-108"/>
              <w:rPr>
                <w:rFonts w:asciiTheme="majorHAnsi" w:hAnsiTheme="majorHAnsi"/>
                <w:b/>
              </w:rPr>
            </w:pPr>
            <w:r w:rsidRPr="000E4869">
              <w:rPr>
                <w:rFonts w:asciiTheme="majorHAnsi" w:hAnsiTheme="majorHAnsi"/>
                <w:b/>
              </w:rPr>
              <w:t>Village Hall sign</w:t>
            </w:r>
          </w:p>
          <w:p w:rsidR="00DF2BBC" w:rsidRDefault="003634D0" w:rsidP="00DF2BBC">
            <w:pPr>
              <w:spacing w:after="0"/>
              <w:ind w:left="-108"/>
              <w:rPr>
                <w:rFonts w:asciiTheme="majorHAnsi" w:hAnsiTheme="majorHAnsi"/>
              </w:rPr>
            </w:pPr>
            <w:r>
              <w:rPr>
                <w:rFonts w:asciiTheme="majorHAnsi" w:hAnsiTheme="majorHAnsi"/>
                <w:b/>
                <w:i/>
              </w:rPr>
              <w:t>It was resolved</w:t>
            </w:r>
            <w:r w:rsidR="00B464AB">
              <w:rPr>
                <w:rFonts w:asciiTheme="majorHAnsi" w:hAnsiTheme="majorHAnsi"/>
                <w:b/>
              </w:rPr>
              <w:t xml:space="preserve"> </w:t>
            </w:r>
            <w:r w:rsidR="00B464AB">
              <w:rPr>
                <w:rFonts w:asciiTheme="majorHAnsi" w:hAnsiTheme="majorHAnsi"/>
              </w:rPr>
              <w:t>to purchase a sign for the village hall at a cost of £590 plus VAT. This will measure 4mx1m.  A ‘mock-up’ of the sign is to be requested.   Cllr Plumb is to enquire as to whether planning permission is required due to the hall being in a conservation area</w:t>
            </w:r>
          </w:p>
          <w:p w:rsidR="00DF2BBC" w:rsidRDefault="00B464AB" w:rsidP="00DF2BBC">
            <w:pPr>
              <w:spacing w:after="0"/>
              <w:ind w:left="-108"/>
              <w:rPr>
                <w:rFonts w:asciiTheme="majorHAnsi" w:hAnsiTheme="majorHAnsi"/>
                <w:b/>
              </w:rPr>
            </w:pPr>
            <w:r w:rsidRPr="00EA3199">
              <w:rPr>
                <w:rFonts w:asciiTheme="majorHAnsi" w:hAnsiTheme="majorHAnsi"/>
                <w:b/>
              </w:rPr>
              <w:t>Energy/Telephone contracts</w:t>
            </w:r>
          </w:p>
          <w:p w:rsidR="00B464AB" w:rsidRDefault="003634D0" w:rsidP="00DF2BBC">
            <w:pPr>
              <w:spacing w:after="0"/>
              <w:ind w:left="-108"/>
              <w:rPr>
                <w:rFonts w:asciiTheme="majorHAnsi" w:hAnsiTheme="majorHAnsi"/>
              </w:rPr>
            </w:pPr>
            <w:r>
              <w:rPr>
                <w:rFonts w:asciiTheme="majorHAnsi" w:hAnsiTheme="majorHAnsi"/>
                <w:b/>
                <w:i/>
              </w:rPr>
              <w:t>It was resolved</w:t>
            </w:r>
            <w:r w:rsidR="00B464AB">
              <w:rPr>
                <w:rFonts w:asciiTheme="majorHAnsi" w:hAnsiTheme="majorHAnsi"/>
              </w:rPr>
              <w:t xml:space="preserve"> that the clerk is given permission to investigate new contracts for energy and telephone services as both contracts have now expired.</w:t>
            </w:r>
          </w:p>
          <w:p w:rsidR="00BD5591" w:rsidRDefault="00BD5591" w:rsidP="00DF2BBC">
            <w:pPr>
              <w:spacing w:after="0"/>
              <w:ind w:left="-108"/>
              <w:rPr>
                <w:rFonts w:asciiTheme="majorHAnsi" w:hAnsiTheme="majorHAnsi"/>
                <w:b/>
              </w:rPr>
            </w:pPr>
            <w:r>
              <w:rPr>
                <w:rFonts w:asciiTheme="majorHAnsi" w:hAnsiTheme="majorHAnsi"/>
                <w:b/>
              </w:rPr>
              <w:t>Village Hall –</w:t>
            </w:r>
          </w:p>
          <w:p w:rsidR="00FC75DF" w:rsidRDefault="00FC75DF" w:rsidP="00DF2BBC">
            <w:pPr>
              <w:spacing w:after="0"/>
              <w:ind w:left="-108"/>
              <w:rPr>
                <w:rFonts w:asciiTheme="majorHAnsi" w:hAnsiTheme="majorHAnsi"/>
              </w:rPr>
            </w:pPr>
            <w:r>
              <w:rPr>
                <w:rFonts w:asciiTheme="majorHAnsi" w:hAnsiTheme="majorHAnsi"/>
              </w:rPr>
              <w:t>The architect has provided feedback from the open day, however these have not yet been fully analysed. The response to the proposed extension is that most people are in favour.</w:t>
            </w:r>
          </w:p>
          <w:p w:rsidR="00FC75DF" w:rsidRDefault="00FC75DF" w:rsidP="00DF2BBC">
            <w:pPr>
              <w:spacing w:after="0"/>
              <w:ind w:left="-108"/>
              <w:rPr>
                <w:rFonts w:asciiTheme="majorHAnsi" w:hAnsiTheme="majorHAnsi"/>
              </w:rPr>
            </w:pPr>
            <w:r>
              <w:rPr>
                <w:rFonts w:asciiTheme="majorHAnsi" w:hAnsiTheme="majorHAnsi"/>
              </w:rPr>
              <w:t xml:space="preserve">More information needs to be gathered before a planning application can be submitted and funding applied for.  </w:t>
            </w:r>
            <w:r w:rsidR="00BF15B4">
              <w:rPr>
                <w:rFonts w:asciiTheme="majorHAnsi" w:hAnsiTheme="majorHAnsi"/>
              </w:rPr>
              <w:t>Further meetings  are to be held with the architect and the services of a quantity surveyor will be necessary.</w:t>
            </w:r>
          </w:p>
          <w:p w:rsidR="00BF15B4" w:rsidRDefault="00BF15B4" w:rsidP="00DF2BBC">
            <w:pPr>
              <w:spacing w:after="0"/>
              <w:ind w:left="-108"/>
              <w:rPr>
                <w:rFonts w:asciiTheme="majorHAnsi" w:hAnsiTheme="majorHAnsi"/>
              </w:rPr>
            </w:pPr>
            <w:r w:rsidRPr="00BF15B4">
              <w:rPr>
                <w:rFonts w:asciiTheme="majorHAnsi" w:hAnsiTheme="majorHAnsi"/>
                <w:b/>
              </w:rPr>
              <w:t>Climate Emergency</w:t>
            </w:r>
            <w:r>
              <w:rPr>
                <w:rFonts w:asciiTheme="majorHAnsi" w:hAnsiTheme="majorHAnsi"/>
              </w:rPr>
              <w:t xml:space="preserve"> –</w:t>
            </w:r>
          </w:p>
          <w:p w:rsidR="00527251" w:rsidRDefault="00BF15B4" w:rsidP="00DF2BBC">
            <w:pPr>
              <w:spacing w:after="0"/>
              <w:ind w:left="-108"/>
              <w:rPr>
                <w:rFonts w:asciiTheme="majorHAnsi" w:hAnsiTheme="majorHAnsi"/>
              </w:rPr>
            </w:pPr>
            <w:r>
              <w:rPr>
                <w:rFonts w:asciiTheme="majorHAnsi" w:hAnsiTheme="majorHAnsi"/>
              </w:rPr>
              <w:t xml:space="preserve">Nine people attended a recent meeting.  Many ideas where put forward including, </w:t>
            </w:r>
            <w:r>
              <w:rPr>
                <w:rFonts w:asciiTheme="majorHAnsi" w:hAnsiTheme="majorHAnsi"/>
              </w:rPr>
              <w:lastRenderedPageBreak/>
              <w:t xml:space="preserve">producing a carbon footprint of the village, setting up a social media page and improving bio-diversity.  The environmental policy is still being looked at.  </w:t>
            </w:r>
          </w:p>
          <w:p w:rsidR="00BF15B4" w:rsidRDefault="00BF15B4" w:rsidP="00DF2BBC">
            <w:pPr>
              <w:spacing w:after="0"/>
              <w:ind w:left="-108"/>
              <w:rPr>
                <w:rFonts w:asciiTheme="majorHAnsi" w:hAnsiTheme="majorHAnsi"/>
              </w:rPr>
            </w:pPr>
            <w:r>
              <w:rPr>
                <w:rFonts w:asciiTheme="majorHAnsi" w:hAnsiTheme="majorHAnsi"/>
              </w:rPr>
              <w:t>An informative meeting with James Cartlidge MP had taken place.</w:t>
            </w:r>
          </w:p>
          <w:p w:rsidR="00BF15B4" w:rsidRDefault="00527251" w:rsidP="00DF2BBC">
            <w:pPr>
              <w:spacing w:after="0"/>
              <w:ind w:left="-108"/>
              <w:rPr>
                <w:rFonts w:asciiTheme="majorHAnsi" w:hAnsiTheme="majorHAnsi"/>
              </w:rPr>
            </w:pPr>
            <w:r>
              <w:rPr>
                <w:rFonts w:asciiTheme="majorHAnsi" w:hAnsiTheme="majorHAnsi"/>
              </w:rPr>
              <w:t>A Show T</w:t>
            </w:r>
            <w:r w:rsidR="00BF15B4">
              <w:rPr>
                <w:rFonts w:asciiTheme="majorHAnsi" w:hAnsiTheme="majorHAnsi"/>
              </w:rPr>
              <w:t xml:space="preserve">he Love </w:t>
            </w:r>
            <w:r>
              <w:rPr>
                <w:rFonts w:asciiTheme="majorHAnsi" w:hAnsiTheme="majorHAnsi"/>
              </w:rPr>
              <w:t>exhibition is currently being held in the library.</w:t>
            </w:r>
          </w:p>
          <w:p w:rsidR="00527251" w:rsidRDefault="00527251" w:rsidP="00DF2BBC">
            <w:pPr>
              <w:spacing w:after="0"/>
              <w:ind w:left="-108"/>
              <w:rPr>
                <w:rFonts w:asciiTheme="majorHAnsi" w:hAnsiTheme="majorHAnsi"/>
              </w:rPr>
            </w:pPr>
          </w:p>
          <w:p w:rsidR="00527251" w:rsidRDefault="00527251" w:rsidP="00DF2BBC">
            <w:pPr>
              <w:spacing w:after="0"/>
              <w:ind w:left="-108"/>
              <w:rPr>
                <w:rFonts w:asciiTheme="majorHAnsi" w:hAnsiTheme="majorHAnsi"/>
                <w:b/>
              </w:rPr>
            </w:pPr>
            <w:r w:rsidRPr="00527251">
              <w:rPr>
                <w:rFonts w:asciiTheme="majorHAnsi" w:hAnsiTheme="majorHAnsi"/>
                <w:b/>
              </w:rPr>
              <w:t>11.02  Quiet Lane – update</w:t>
            </w:r>
          </w:p>
          <w:p w:rsidR="00527251" w:rsidRDefault="00527251" w:rsidP="00DF2BBC">
            <w:pPr>
              <w:spacing w:after="0"/>
              <w:ind w:left="-108"/>
              <w:rPr>
                <w:rFonts w:asciiTheme="majorHAnsi" w:hAnsiTheme="majorHAnsi"/>
              </w:rPr>
            </w:pPr>
            <w:r>
              <w:rPr>
                <w:rFonts w:asciiTheme="majorHAnsi" w:hAnsiTheme="majorHAnsi"/>
              </w:rPr>
              <w:t>Plans are moving forward slowly.  Suffolk Highways have provided a final figure of £5425.00 to complete the project.  It is hoped that CCllr Kemp will be able to help with funding from his locality budget.  The Parish Council has already budgeted £2692.00.  Cllr Brian Stephens is currently reviewing steps to achieve this status without using all of Suffolk County Council services.  It may be possible to reduce the price to below £4000.00.</w:t>
            </w:r>
          </w:p>
          <w:p w:rsidR="00527251" w:rsidRDefault="00527251" w:rsidP="00DF2BBC">
            <w:pPr>
              <w:spacing w:after="0"/>
              <w:ind w:left="-108"/>
              <w:rPr>
                <w:rFonts w:asciiTheme="majorHAnsi" w:hAnsiTheme="majorHAnsi"/>
              </w:rPr>
            </w:pPr>
          </w:p>
          <w:p w:rsidR="00527251" w:rsidRDefault="00527251" w:rsidP="00DF2BBC">
            <w:pPr>
              <w:spacing w:after="0"/>
              <w:ind w:left="-108"/>
              <w:rPr>
                <w:rFonts w:asciiTheme="majorHAnsi" w:hAnsiTheme="majorHAnsi"/>
                <w:b/>
              </w:rPr>
            </w:pPr>
            <w:r w:rsidRPr="00527251">
              <w:rPr>
                <w:rFonts w:asciiTheme="majorHAnsi" w:hAnsiTheme="majorHAnsi"/>
                <w:b/>
              </w:rPr>
              <w:t xml:space="preserve">12.02  Neighbourhood Plan </w:t>
            </w:r>
            <w:r>
              <w:rPr>
                <w:rFonts w:asciiTheme="majorHAnsi" w:hAnsiTheme="majorHAnsi"/>
                <w:b/>
              </w:rPr>
              <w:t>–</w:t>
            </w:r>
            <w:r w:rsidRPr="00527251">
              <w:rPr>
                <w:rFonts w:asciiTheme="majorHAnsi" w:hAnsiTheme="majorHAnsi"/>
                <w:b/>
              </w:rPr>
              <w:t xml:space="preserve"> update</w:t>
            </w:r>
          </w:p>
          <w:p w:rsidR="00527251" w:rsidRDefault="00527251" w:rsidP="00DF2BBC">
            <w:pPr>
              <w:spacing w:after="0"/>
              <w:ind w:left="-108"/>
              <w:rPr>
                <w:rFonts w:asciiTheme="majorHAnsi" w:hAnsiTheme="majorHAnsi"/>
              </w:rPr>
            </w:pPr>
            <w:r>
              <w:rPr>
                <w:rFonts w:asciiTheme="majorHAnsi" w:hAnsiTheme="majorHAnsi"/>
              </w:rPr>
              <w:t>The call for sites exercise is now complet</w:t>
            </w:r>
            <w:r w:rsidR="005A3D75">
              <w:rPr>
                <w:rFonts w:asciiTheme="majorHAnsi" w:hAnsiTheme="majorHAnsi"/>
              </w:rPr>
              <w:t>e and</w:t>
            </w:r>
            <w:r>
              <w:rPr>
                <w:rFonts w:asciiTheme="majorHAnsi" w:hAnsiTheme="majorHAnsi"/>
              </w:rPr>
              <w:t xml:space="preserve"> the details have been passed onto AECOM (</w:t>
            </w:r>
            <w:r w:rsidR="005A3D75">
              <w:rPr>
                <w:rFonts w:asciiTheme="majorHAnsi" w:hAnsiTheme="majorHAnsi"/>
              </w:rPr>
              <w:t>neighbourhood planning technical support)</w:t>
            </w:r>
            <w:r>
              <w:rPr>
                <w:rFonts w:asciiTheme="majorHAnsi" w:hAnsiTheme="majorHAnsi"/>
              </w:rPr>
              <w:t>).  They will be assessing the sites on Tuesday 27</w:t>
            </w:r>
            <w:r w:rsidRPr="00527251">
              <w:rPr>
                <w:rFonts w:asciiTheme="majorHAnsi" w:hAnsiTheme="majorHAnsi"/>
                <w:vertAlign w:val="superscript"/>
              </w:rPr>
              <w:t>th</w:t>
            </w:r>
            <w:r>
              <w:rPr>
                <w:rFonts w:asciiTheme="majorHAnsi" w:hAnsiTheme="majorHAnsi"/>
              </w:rPr>
              <w:t xml:space="preserve"> Feb;  councillors are welcome to attend.</w:t>
            </w:r>
          </w:p>
          <w:p w:rsidR="005A3D75" w:rsidRDefault="005A3D75" w:rsidP="00DF2BBC">
            <w:pPr>
              <w:spacing w:after="0"/>
              <w:ind w:left="-108"/>
              <w:rPr>
                <w:rFonts w:asciiTheme="majorHAnsi" w:hAnsiTheme="majorHAnsi"/>
              </w:rPr>
            </w:pPr>
          </w:p>
          <w:p w:rsidR="005A3D75" w:rsidRDefault="005A3D75" w:rsidP="00DF2BBC">
            <w:pPr>
              <w:spacing w:after="0"/>
              <w:ind w:left="-108"/>
              <w:rPr>
                <w:rFonts w:asciiTheme="majorHAnsi" w:hAnsiTheme="majorHAnsi"/>
                <w:b/>
              </w:rPr>
            </w:pPr>
            <w:r w:rsidRPr="005A3D75">
              <w:rPr>
                <w:rFonts w:asciiTheme="majorHAnsi" w:hAnsiTheme="majorHAnsi"/>
                <w:b/>
              </w:rPr>
              <w:t>13.02  Placement of rose bushes – opposite Wongs/Cherrytree</w:t>
            </w:r>
          </w:p>
          <w:p w:rsidR="005A3D75" w:rsidRDefault="005A3D75" w:rsidP="00DF2BBC">
            <w:pPr>
              <w:spacing w:after="0"/>
              <w:ind w:left="-108"/>
              <w:rPr>
                <w:rFonts w:asciiTheme="majorHAnsi" w:hAnsiTheme="majorHAnsi"/>
              </w:rPr>
            </w:pPr>
            <w:r>
              <w:rPr>
                <w:rFonts w:asciiTheme="majorHAnsi" w:hAnsiTheme="majorHAnsi"/>
              </w:rPr>
              <w:t>The area in question has been monitored with regards vehicles parking on the green.  It appears that currently this is not an issue.  This is to be monitored further and reviewed at a later date.</w:t>
            </w:r>
          </w:p>
          <w:p w:rsidR="005A3D75" w:rsidRDefault="005A3D75" w:rsidP="00DF2BBC">
            <w:pPr>
              <w:spacing w:after="0"/>
              <w:ind w:left="-108"/>
              <w:rPr>
                <w:rFonts w:asciiTheme="majorHAnsi" w:hAnsiTheme="majorHAnsi"/>
              </w:rPr>
            </w:pPr>
          </w:p>
          <w:p w:rsidR="005A3D75" w:rsidRDefault="005A3D75" w:rsidP="00DF2BBC">
            <w:pPr>
              <w:spacing w:after="0"/>
              <w:ind w:left="-108"/>
              <w:rPr>
                <w:rFonts w:asciiTheme="majorHAnsi" w:hAnsiTheme="majorHAnsi"/>
                <w:b/>
              </w:rPr>
            </w:pPr>
            <w:r w:rsidRPr="005A3D75">
              <w:rPr>
                <w:rFonts w:asciiTheme="majorHAnsi" w:hAnsiTheme="majorHAnsi"/>
                <w:b/>
              </w:rPr>
              <w:t>14.02  Kings Rd play park – fencing of</w:t>
            </w:r>
          </w:p>
          <w:p w:rsidR="005A3D75" w:rsidRDefault="005A3D75" w:rsidP="00DF2BBC">
            <w:pPr>
              <w:spacing w:after="0"/>
              <w:ind w:left="-108"/>
              <w:rPr>
                <w:rFonts w:asciiTheme="majorHAnsi" w:hAnsiTheme="majorHAnsi"/>
              </w:rPr>
            </w:pPr>
            <w:r>
              <w:rPr>
                <w:rFonts w:asciiTheme="majorHAnsi" w:hAnsiTheme="majorHAnsi"/>
              </w:rPr>
              <w:t xml:space="preserve">Quotes have been received for the fencing of the play park.  </w:t>
            </w:r>
            <w:r w:rsidR="00C11F5A">
              <w:rPr>
                <w:rFonts w:asciiTheme="majorHAnsi" w:hAnsiTheme="majorHAnsi"/>
              </w:rPr>
              <w:t>However, these cannot be actioned until permission is granted by Babergh District Council who owns the land.</w:t>
            </w:r>
          </w:p>
          <w:p w:rsidR="00C11F5A" w:rsidRDefault="00C11F5A" w:rsidP="00DF2BBC">
            <w:pPr>
              <w:spacing w:after="0"/>
              <w:ind w:left="-108"/>
              <w:rPr>
                <w:rFonts w:asciiTheme="majorHAnsi" w:hAnsiTheme="majorHAnsi"/>
              </w:rPr>
            </w:pPr>
          </w:p>
          <w:p w:rsidR="00C11F5A" w:rsidRDefault="009D0C1B" w:rsidP="00DF2BBC">
            <w:pPr>
              <w:spacing w:after="0"/>
              <w:ind w:left="-108"/>
              <w:rPr>
                <w:rFonts w:asciiTheme="majorHAnsi" w:hAnsiTheme="majorHAnsi"/>
                <w:b/>
              </w:rPr>
            </w:pPr>
            <w:r w:rsidRPr="009D0C1B">
              <w:rPr>
                <w:rFonts w:asciiTheme="majorHAnsi" w:hAnsiTheme="majorHAnsi"/>
                <w:b/>
              </w:rPr>
              <w:t>15.02  Risk Assessments</w:t>
            </w:r>
          </w:p>
          <w:p w:rsidR="009D0C1B" w:rsidRDefault="009D0C1B" w:rsidP="00DF2BBC">
            <w:pPr>
              <w:spacing w:after="0"/>
              <w:ind w:left="-108"/>
              <w:rPr>
                <w:rFonts w:asciiTheme="majorHAnsi" w:hAnsiTheme="majorHAnsi"/>
              </w:rPr>
            </w:pPr>
            <w:r>
              <w:rPr>
                <w:rFonts w:asciiTheme="majorHAnsi" w:hAnsiTheme="majorHAnsi"/>
              </w:rPr>
              <w:t xml:space="preserve">Copies of the risk assessments had been circulated to all councillors.  </w:t>
            </w:r>
            <w:r w:rsidRPr="009D0C1B">
              <w:rPr>
                <w:rFonts w:asciiTheme="majorHAnsi" w:hAnsiTheme="majorHAnsi"/>
                <w:b/>
                <w:i/>
              </w:rPr>
              <w:t>It was</w:t>
            </w:r>
            <w:r>
              <w:rPr>
                <w:rFonts w:asciiTheme="majorHAnsi" w:hAnsiTheme="majorHAnsi"/>
              </w:rPr>
              <w:t xml:space="preserve"> </w:t>
            </w:r>
            <w:r w:rsidRPr="009D0C1B">
              <w:rPr>
                <w:rFonts w:asciiTheme="majorHAnsi" w:hAnsiTheme="majorHAnsi"/>
                <w:b/>
                <w:i/>
              </w:rPr>
              <w:t>resolved</w:t>
            </w:r>
            <w:r>
              <w:rPr>
                <w:rFonts w:asciiTheme="majorHAnsi" w:hAnsiTheme="majorHAnsi"/>
              </w:rPr>
              <w:t xml:space="preserve"> to agree these.</w:t>
            </w:r>
          </w:p>
          <w:p w:rsidR="009D0C1B" w:rsidRDefault="009D0C1B" w:rsidP="00DF2BBC">
            <w:pPr>
              <w:spacing w:after="0"/>
              <w:ind w:left="-108"/>
              <w:rPr>
                <w:rFonts w:asciiTheme="majorHAnsi" w:hAnsiTheme="majorHAnsi"/>
              </w:rPr>
            </w:pPr>
          </w:p>
          <w:p w:rsidR="009D0C1B" w:rsidRDefault="009D0C1B" w:rsidP="00DF2BBC">
            <w:pPr>
              <w:spacing w:after="0"/>
              <w:ind w:left="-108"/>
              <w:rPr>
                <w:rFonts w:asciiTheme="majorHAnsi" w:hAnsiTheme="majorHAnsi"/>
                <w:b/>
              </w:rPr>
            </w:pPr>
            <w:r w:rsidRPr="009D0C1B">
              <w:rPr>
                <w:rFonts w:asciiTheme="majorHAnsi" w:hAnsiTheme="majorHAnsi"/>
                <w:b/>
              </w:rPr>
              <w:t>16.02  Correspondence to report</w:t>
            </w:r>
          </w:p>
          <w:p w:rsidR="009D0C1B" w:rsidRPr="0049722A" w:rsidRDefault="009D0C1B" w:rsidP="00DF2BBC">
            <w:pPr>
              <w:spacing w:after="0"/>
              <w:ind w:left="-108"/>
              <w:rPr>
                <w:rFonts w:asciiTheme="majorHAnsi" w:hAnsiTheme="majorHAnsi"/>
                <w:b/>
              </w:rPr>
            </w:pPr>
            <w:r>
              <w:rPr>
                <w:rFonts w:asciiTheme="majorHAnsi" w:hAnsiTheme="majorHAnsi"/>
              </w:rPr>
              <w:t xml:space="preserve">It was asked if the Parish Council will be organising an event to celebrate VE Day.  It </w:t>
            </w:r>
            <w:r w:rsidRPr="00B21642">
              <w:rPr>
                <w:rFonts w:asciiTheme="majorHAnsi" w:hAnsiTheme="majorHAnsi"/>
              </w:rPr>
              <w:t>was confirmed nothing has been arranged.</w:t>
            </w:r>
          </w:p>
          <w:p w:rsidR="0049722A" w:rsidRPr="0049722A" w:rsidRDefault="0049722A" w:rsidP="00DF2BBC">
            <w:pPr>
              <w:spacing w:after="0"/>
              <w:ind w:left="-108"/>
              <w:rPr>
                <w:rFonts w:asciiTheme="majorHAnsi" w:hAnsiTheme="majorHAnsi"/>
                <w:b/>
              </w:rPr>
            </w:pPr>
          </w:p>
          <w:p w:rsidR="0049722A" w:rsidRDefault="0049722A" w:rsidP="00DF2BBC">
            <w:pPr>
              <w:spacing w:after="0"/>
              <w:ind w:left="-108"/>
              <w:rPr>
                <w:rFonts w:asciiTheme="majorHAnsi" w:hAnsiTheme="majorHAnsi"/>
              </w:rPr>
            </w:pPr>
            <w:r w:rsidRPr="0049722A">
              <w:rPr>
                <w:rFonts w:asciiTheme="majorHAnsi" w:hAnsiTheme="majorHAnsi"/>
                <w:b/>
              </w:rPr>
              <w:t>17.02  Date of next meeting</w:t>
            </w:r>
            <w:r>
              <w:rPr>
                <w:rFonts w:asciiTheme="majorHAnsi" w:hAnsiTheme="majorHAnsi"/>
              </w:rPr>
              <w:t xml:space="preserve"> – 10</w:t>
            </w:r>
            <w:r w:rsidRPr="0049722A">
              <w:rPr>
                <w:rFonts w:asciiTheme="majorHAnsi" w:hAnsiTheme="majorHAnsi"/>
                <w:vertAlign w:val="superscript"/>
              </w:rPr>
              <w:t>th</w:t>
            </w:r>
            <w:r>
              <w:rPr>
                <w:rFonts w:asciiTheme="majorHAnsi" w:hAnsiTheme="majorHAnsi"/>
              </w:rPr>
              <w:t xml:space="preserve"> March 2020</w:t>
            </w:r>
          </w:p>
          <w:p w:rsidR="0049722A" w:rsidRDefault="0049722A" w:rsidP="00DF2BBC">
            <w:pPr>
              <w:spacing w:after="0"/>
              <w:ind w:left="-108"/>
              <w:rPr>
                <w:rFonts w:asciiTheme="majorHAnsi" w:hAnsiTheme="majorHAnsi"/>
              </w:rPr>
            </w:pPr>
          </w:p>
          <w:p w:rsidR="0049722A" w:rsidRPr="009D0C1B" w:rsidRDefault="0049722A" w:rsidP="00DF2BBC">
            <w:pPr>
              <w:spacing w:after="0"/>
              <w:ind w:left="-108"/>
              <w:rPr>
                <w:rFonts w:asciiTheme="majorHAnsi" w:hAnsiTheme="majorHAnsi"/>
              </w:rPr>
            </w:pPr>
            <w:r>
              <w:rPr>
                <w:rFonts w:asciiTheme="majorHAnsi" w:hAnsiTheme="majorHAnsi"/>
              </w:rPr>
              <w:t>Meeting finished @ 7.50pm</w:t>
            </w:r>
          </w:p>
          <w:p w:rsidR="009D0C1B" w:rsidRPr="005A3D75" w:rsidRDefault="009D0C1B" w:rsidP="00DF2BBC">
            <w:pPr>
              <w:spacing w:after="0"/>
              <w:ind w:left="-108"/>
              <w:rPr>
                <w:rFonts w:asciiTheme="majorHAnsi" w:hAnsiTheme="majorHAnsi"/>
              </w:rPr>
            </w:pPr>
          </w:p>
          <w:p w:rsidR="005A3D75" w:rsidRDefault="005A3D75" w:rsidP="00DF2BBC">
            <w:pPr>
              <w:spacing w:after="0"/>
              <w:ind w:left="-108"/>
              <w:rPr>
                <w:rFonts w:asciiTheme="majorHAnsi" w:hAnsiTheme="majorHAnsi"/>
                <w:b/>
              </w:rPr>
            </w:pPr>
          </w:p>
          <w:p w:rsidR="005A3D75" w:rsidRPr="005A3D75" w:rsidRDefault="005A3D75" w:rsidP="00DF2BBC">
            <w:pPr>
              <w:spacing w:after="0"/>
              <w:ind w:left="-108"/>
              <w:rPr>
                <w:rFonts w:asciiTheme="majorHAnsi" w:hAnsiTheme="majorHAnsi"/>
              </w:rPr>
            </w:pPr>
          </w:p>
          <w:p w:rsidR="005A3D75" w:rsidRPr="005A3D75" w:rsidRDefault="005A3D75" w:rsidP="00DF2BBC">
            <w:pPr>
              <w:spacing w:after="0"/>
              <w:ind w:left="-108"/>
              <w:rPr>
                <w:rFonts w:asciiTheme="majorHAnsi" w:hAnsiTheme="majorHAnsi"/>
                <w:b/>
              </w:rPr>
            </w:pPr>
          </w:p>
          <w:p w:rsidR="005A3D75" w:rsidRPr="00527251" w:rsidRDefault="005A3D75" w:rsidP="00DF2BBC">
            <w:pPr>
              <w:spacing w:after="0"/>
              <w:ind w:left="-108"/>
              <w:rPr>
                <w:rFonts w:asciiTheme="majorHAnsi" w:hAnsiTheme="majorHAnsi"/>
              </w:rPr>
            </w:pPr>
          </w:p>
          <w:p w:rsidR="00527251" w:rsidRDefault="00527251" w:rsidP="00DF2BBC">
            <w:pPr>
              <w:spacing w:after="0"/>
              <w:ind w:left="-108"/>
              <w:rPr>
                <w:rFonts w:asciiTheme="majorHAnsi" w:hAnsiTheme="majorHAnsi"/>
              </w:rPr>
            </w:pPr>
          </w:p>
          <w:p w:rsidR="00527251" w:rsidRPr="00527251" w:rsidRDefault="00527251" w:rsidP="00DF2BBC">
            <w:pPr>
              <w:spacing w:after="0"/>
              <w:ind w:left="-108"/>
              <w:rPr>
                <w:rFonts w:asciiTheme="majorHAnsi" w:hAnsiTheme="majorHAnsi"/>
              </w:rPr>
            </w:pPr>
          </w:p>
          <w:p w:rsidR="00527251" w:rsidRPr="00BF15B4" w:rsidRDefault="00527251" w:rsidP="00DF2BBC">
            <w:pPr>
              <w:spacing w:after="0"/>
              <w:ind w:left="-108"/>
              <w:rPr>
                <w:rFonts w:asciiTheme="majorHAnsi" w:hAnsiTheme="majorHAnsi"/>
              </w:rPr>
            </w:pPr>
          </w:p>
          <w:p w:rsidR="00BD5591" w:rsidRPr="00DF2BBC" w:rsidRDefault="00BD5591" w:rsidP="00DF2BBC">
            <w:pPr>
              <w:spacing w:after="0"/>
              <w:ind w:left="-108"/>
              <w:rPr>
                <w:rFonts w:asciiTheme="majorHAnsi" w:hAnsiTheme="majorHAnsi"/>
                <w:b/>
              </w:rPr>
            </w:pPr>
          </w:p>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lastRenderedPageBreak/>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781EFB" w:rsidP="0008216F">
      <w:pPr>
        <w:spacing w:after="0"/>
        <w:rPr>
          <w:rFonts w:asciiTheme="majorHAnsi" w:hAnsiTheme="majorHAnsi"/>
          <w:b/>
        </w:rPr>
      </w:pPr>
      <w:r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88" w:rsidRDefault="00715088" w:rsidP="00304CC9">
      <w:pPr>
        <w:spacing w:after="0" w:line="240" w:lineRule="auto"/>
      </w:pPr>
      <w:r>
        <w:separator/>
      </w:r>
    </w:p>
  </w:endnote>
  <w:endnote w:type="continuationSeparator" w:id="0">
    <w:p w:rsidR="00715088" w:rsidRDefault="00715088"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9B" w:rsidRDefault="008A72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BF15B4" w:rsidRDefault="00F15F8A">
        <w:pPr>
          <w:pStyle w:val="Footer"/>
          <w:jc w:val="center"/>
        </w:pPr>
        <w:fldSimple w:instr=" PAGE   \* MERGEFORMAT ">
          <w:r w:rsidR="00144358">
            <w:rPr>
              <w:noProof/>
            </w:rPr>
            <w:t>7</w:t>
          </w:r>
        </w:fldSimple>
      </w:p>
    </w:sdtContent>
  </w:sdt>
  <w:p w:rsidR="00BF15B4" w:rsidRDefault="00BF15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9B" w:rsidRDefault="008A7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88" w:rsidRDefault="00715088" w:rsidP="00304CC9">
      <w:pPr>
        <w:spacing w:after="0" w:line="240" w:lineRule="auto"/>
      </w:pPr>
      <w:r>
        <w:separator/>
      </w:r>
    </w:p>
  </w:footnote>
  <w:footnote w:type="continuationSeparator" w:id="0">
    <w:p w:rsidR="00715088" w:rsidRDefault="00715088"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9B" w:rsidRDefault="008A72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9B" w:rsidRDefault="008A72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9B" w:rsidRDefault="008A72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6"/>
  </w:num>
  <w:num w:numId="5">
    <w:abstractNumId w:val="20"/>
  </w:num>
  <w:num w:numId="6">
    <w:abstractNumId w:val="11"/>
  </w:num>
  <w:num w:numId="7">
    <w:abstractNumId w:val="14"/>
  </w:num>
  <w:num w:numId="8">
    <w:abstractNumId w:val="17"/>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90818"/>
  </w:hdrShapeDefaults>
  <w:footnotePr>
    <w:footnote w:id="-1"/>
    <w:footnote w:id="0"/>
  </w:footnotePr>
  <w:endnotePr>
    <w:endnote w:id="-1"/>
    <w:endnote w:id="0"/>
  </w:endnotePr>
  <w:compat/>
  <w:rsids>
    <w:rsidRoot w:val="00DF3F91"/>
    <w:rsid w:val="000001CD"/>
    <w:rsid w:val="00001F9E"/>
    <w:rsid w:val="00002AAB"/>
    <w:rsid w:val="00005AB7"/>
    <w:rsid w:val="00005EB8"/>
    <w:rsid w:val="00005FF8"/>
    <w:rsid w:val="00006542"/>
    <w:rsid w:val="00007B5C"/>
    <w:rsid w:val="00007F07"/>
    <w:rsid w:val="000103D9"/>
    <w:rsid w:val="000166C2"/>
    <w:rsid w:val="00016F98"/>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561C"/>
    <w:rsid w:val="00045CF2"/>
    <w:rsid w:val="00046075"/>
    <w:rsid w:val="000461B3"/>
    <w:rsid w:val="00047E06"/>
    <w:rsid w:val="00047EEF"/>
    <w:rsid w:val="0005137C"/>
    <w:rsid w:val="00051BA8"/>
    <w:rsid w:val="00051D00"/>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66AB"/>
    <w:rsid w:val="0008715E"/>
    <w:rsid w:val="000871EA"/>
    <w:rsid w:val="000873F7"/>
    <w:rsid w:val="0008757F"/>
    <w:rsid w:val="000912DE"/>
    <w:rsid w:val="00092A64"/>
    <w:rsid w:val="000948DB"/>
    <w:rsid w:val="000957B7"/>
    <w:rsid w:val="00097F23"/>
    <w:rsid w:val="00097F53"/>
    <w:rsid w:val="000A0266"/>
    <w:rsid w:val="000A0E7C"/>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E615D"/>
    <w:rsid w:val="000F4BCE"/>
    <w:rsid w:val="000F5CCE"/>
    <w:rsid w:val="000F66F6"/>
    <w:rsid w:val="000F69C6"/>
    <w:rsid w:val="001004CB"/>
    <w:rsid w:val="00100E52"/>
    <w:rsid w:val="001068AB"/>
    <w:rsid w:val="00112ECF"/>
    <w:rsid w:val="00114E33"/>
    <w:rsid w:val="001202E0"/>
    <w:rsid w:val="001211CD"/>
    <w:rsid w:val="001216C2"/>
    <w:rsid w:val="00124498"/>
    <w:rsid w:val="00127D0B"/>
    <w:rsid w:val="00130C61"/>
    <w:rsid w:val="0013108F"/>
    <w:rsid w:val="00131D30"/>
    <w:rsid w:val="00132DD1"/>
    <w:rsid w:val="00133ABF"/>
    <w:rsid w:val="00134391"/>
    <w:rsid w:val="00136081"/>
    <w:rsid w:val="00141C51"/>
    <w:rsid w:val="0014214B"/>
    <w:rsid w:val="00144358"/>
    <w:rsid w:val="001474A1"/>
    <w:rsid w:val="00150335"/>
    <w:rsid w:val="00151CBB"/>
    <w:rsid w:val="00152819"/>
    <w:rsid w:val="0015411A"/>
    <w:rsid w:val="00154505"/>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C3B"/>
    <w:rsid w:val="001A1EF9"/>
    <w:rsid w:val="001A50AC"/>
    <w:rsid w:val="001B0B97"/>
    <w:rsid w:val="001B0FC4"/>
    <w:rsid w:val="001B3772"/>
    <w:rsid w:val="001B4CB4"/>
    <w:rsid w:val="001B4D5E"/>
    <w:rsid w:val="001B4F54"/>
    <w:rsid w:val="001B532A"/>
    <w:rsid w:val="001B7CD1"/>
    <w:rsid w:val="001C24F2"/>
    <w:rsid w:val="001C26F3"/>
    <w:rsid w:val="001C6C1A"/>
    <w:rsid w:val="001D0586"/>
    <w:rsid w:val="001D0DB9"/>
    <w:rsid w:val="001D0DBD"/>
    <w:rsid w:val="001D0E64"/>
    <w:rsid w:val="001D3259"/>
    <w:rsid w:val="001D47D7"/>
    <w:rsid w:val="001D48CC"/>
    <w:rsid w:val="001D4AEA"/>
    <w:rsid w:val="001D4DA8"/>
    <w:rsid w:val="001D5329"/>
    <w:rsid w:val="001D71B6"/>
    <w:rsid w:val="001E067C"/>
    <w:rsid w:val="001E412D"/>
    <w:rsid w:val="001E4EE3"/>
    <w:rsid w:val="001E58F1"/>
    <w:rsid w:val="001E63FA"/>
    <w:rsid w:val="001F2661"/>
    <w:rsid w:val="001F4BA9"/>
    <w:rsid w:val="001F5A23"/>
    <w:rsid w:val="002010A5"/>
    <w:rsid w:val="002011DF"/>
    <w:rsid w:val="00203F3D"/>
    <w:rsid w:val="00204C21"/>
    <w:rsid w:val="00204C49"/>
    <w:rsid w:val="00210603"/>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4E53"/>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55D"/>
    <w:rsid w:val="00267B2A"/>
    <w:rsid w:val="00272715"/>
    <w:rsid w:val="00272C4E"/>
    <w:rsid w:val="00273C23"/>
    <w:rsid w:val="00273D47"/>
    <w:rsid w:val="002744DB"/>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75BB"/>
    <w:rsid w:val="003008A2"/>
    <w:rsid w:val="00300D9F"/>
    <w:rsid w:val="00301CEB"/>
    <w:rsid w:val="00304B61"/>
    <w:rsid w:val="00304CC9"/>
    <w:rsid w:val="00305926"/>
    <w:rsid w:val="00306161"/>
    <w:rsid w:val="00307948"/>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31A9B"/>
    <w:rsid w:val="00333CAD"/>
    <w:rsid w:val="00333F3E"/>
    <w:rsid w:val="003413F5"/>
    <w:rsid w:val="00341B1E"/>
    <w:rsid w:val="0034454B"/>
    <w:rsid w:val="00344842"/>
    <w:rsid w:val="00345A2F"/>
    <w:rsid w:val="00346139"/>
    <w:rsid w:val="0034639B"/>
    <w:rsid w:val="0034677B"/>
    <w:rsid w:val="003470AE"/>
    <w:rsid w:val="003525DB"/>
    <w:rsid w:val="00353903"/>
    <w:rsid w:val="003560FB"/>
    <w:rsid w:val="00360512"/>
    <w:rsid w:val="00363137"/>
    <w:rsid w:val="003634D0"/>
    <w:rsid w:val="00363AEF"/>
    <w:rsid w:val="00364DCC"/>
    <w:rsid w:val="00366EB5"/>
    <w:rsid w:val="00367D69"/>
    <w:rsid w:val="00372320"/>
    <w:rsid w:val="00373D23"/>
    <w:rsid w:val="00374472"/>
    <w:rsid w:val="00381E22"/>
    <w:rsid w:val="00383B5C"/>
    <w:rsid w:val="00383F81"/>
    <w:rsid w:val="003850C2"/>
    <w:rsid w:val="0038585F"/>
    <w:rsid w:val="00386AC0"/>
    <w:rsid w:val="00392833"/>
    <w:rsid w:val="00393C16"/>
    <w:rsid w:val="00394705"/>
    <w:rsid w:val="00397471"/>
    <w:rsid w:val="003A0F1F"/>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17180"/>
    <w:rsid w:val="00420A19"/>
    <w:rsid w:val="0042216D"/>
    <w:rsid w:val="004228AE"/>
    <w:rsid w:val="00423046"/>
    <w:rsid w:val="0042684F"/>
    <w:rsid w:val="004273E9"/>
    <w:rsid w:val="0042740E"/>
    <w:rsid w:val="004311D2"/>
    <w:rsid w:val="004312DE"/>
    <w:rsid w:val="00432D00"/>
    <w:rsid w:val="0043309F"/>
    <w:rsid w:val="0043435C"/>
    <w:rsid w:val="00436DF0"/>
    <w:rsid w:val="00436ECE"/>
    <w:rsid w:val="00441034"/>
    <w:rsid w:val="0044173F"/>
    <w:rsid w:val="00442469"/>
    <w:rsid w:val="00443406"/>
    <w:rsid w:val="004458CF"/>
    <w:rsid w:val="00447D53"/>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BCD"/>
    <w:rsid w:val="004762C1"/>
    <w:rsid w:val="0047669E"/>
    <w:rsid w:val="0047673C"/>
    <w:rsid w:val="0047690E"/>
    <w:rsid w:val="00477D35"/>
    <w:rsid w:val="00480888"/>
    <w:rsid w:val="00483964"/>
    <w:rsid w:val="00483F9E"/>
    <w:rsid w:val="00484DDA"/>
    <w:rsid w:val="004859F1"/>
    <w:rsid w:val="004874E8"/>
    <w:rsid w:val="00490586"/>
    <w:rsid w:val="00495AA2"/>
    <w:rsid w:val="004962E9"/>
    <w:rsid w:val="004970B5"/>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6F3"/>
    <w:rsid w:val="004F4157"/>
    <w:rsid w:val="004F4978"/>
    <w:rsid w:val="004F4AD1"/>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7FB1"/>
    <w:rsid w:val="005411D4"/>
    <w:rsid w:val="00541E4C"/>
    <w:rsid w:val="00543255"/>
    <w:rsid w:val="00546982"/>
    <w:rsid w:val="005470EB"/>
    <w:rsid w:val="00547838"/>
    <w:rsid w:val="00547F67"/>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58DD"/>
    <w:rsid w:val="00576426"/>
    <w:rsid w:val="005809D8"/>
    <w:rsid w:val="00581E4B"/>
    <w:rsid w:val="0058301E"/>
    <w:rsid w:val="0058348C"/>
    <w:rsid w:val="00584462"/>
    <w:rsid w:val="00584AED"/>
    <w:rsid w:val="00584D0B"/>
    <w:rsid w:val="00585653"/>
    <w:rsid w:val="00585B0A"/>
    <w:rsid w:val="005903A3"/>
    <w:rsid w:val="0059352B"/>
    <w:rsid w:val="00594FCD"/>
    <w:rsid w:val="00596493"/>
    <w:rsid w:val="005971D2"/>
    <w:rsid w:val="005A0EF0"/>
    <w:rsid w:val="005A1B3B"/>
    <w:rsid w:val="005A3D75"/>
    <w:rsid w:val="005A4289"/>
    <w:rsid w:val="005A5469"/>
    <w:rsid w:val="005B1049"/>
    <w:rsid w:val="005B2EDE"/>
    <w:rsid w:val="005B5BA4"/>
    <w:rsid w:val="005B709A"/>
    <w:rsid w:val="005C2965"/>
    <w:rsid w:val="005C3D3D"/>
    <w:rsid w:val="005C465D"/>
    <w:rsid w:val="005C7067"/>
    <w:rsid w:val="005D05F5"/>
    <w:rsid w:val="005D184B"/>
    <w:rsid w:val="005D2E5E"/>
    <w:rsid w:val="005D37FB"/>
    <w:rsid w:val="005D74AB"/>
    <w:rsid w:val="005D7DBB"/>
    <w:rsid w:val="005E121E"/>
    <w:rsid w:val="005E34B1"/>
    <w:rsid w:val="005E6AA5"/>
    <w:rsid w:val="005F0607"/>
    <w:rsid w:val="005F1690"/>
    <w:rsid w:val="005F2D81"/>
    <w:rsid w:val="005F4C86"/>
    <w:rsid w:val="005F4D56"/>
    <w:rsid w:val="005F6E86"/>
    <w:rsid w:val="005F744A"/>
    <w:rsid w:val="005F7C62"/>
    <w:rsid w:val="006006BE"/>
    <w:rsid w:val="00600FCE"/>
    <w:rsid w:val="00603677"/>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4CD7"/>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00AA"/>
    <w:rsid w:val="006758AE"/>
    <w:rsid w:val="006758E7"/>
    <w:rsid w:val="00675EC6"/>
    <w:rsid w:val="00680BB1"/>
    <w:rsid w:val="00680DB6"/>
    <w:rsid w:val="00680F4D"/>
    <w:rsid w:val="00681B61"/>
    <w:rsid w:val="0068247F"/>
    <w:rsid w:val="00682ACB"/>
    <w:rsid w:val="00683F4C"/>
    <w:rsid w:val="00684A67"/>
    <w:rsid w:val="00684F89"/>
    <w:rsid w:val="00685FBF"/>
    <w:rsid w:val="00687AE6"/>
    <w:rsid w:val="00691D0C"/>
    <w:rsid w:val="00697512"/>
    <w:rsid w:val="006978E1"/>
    <w:rsid w:val="006A168E"/>
    <w:rsid w:val="006A16DE"/>
    <w:rsid w:val="006A175A"/>
    <w:rsid w:val="006A1C80"/>
    <w:rsid w:val="006A2F8F"/>
    <w:rsid w:val="006A3681"/>
    <w:rsid w:val="006A39BD"/>
    <w:rsid w:val="006A587C"/>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3273"/>
    <w:rsid w:val="006C3A14"/>
    <w:rsid w:val="006C41F4"/>
    <w:rsid w:val="006C5304"/>
    <w:rsid w:val="006C5F2A"/>
    <w:rsid w:val="006D0ADB"/>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B"/>
    <w:rsid w:val="00725356"/>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810A0"/>
    <w:rsid w:val="00781EFB"/>
    <w:rsid w:val="0078253C"/>
    <w:rsid w:val="00782D31"/>
    <w:rsid w:val="00784DF8"/>
    <w:rsid w:val="0078678A"/>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C5A"/>
    <w:rsid w:val="007B2796"/>
    <w:rsid w:val="007B35C7"/>
    <w:rsid w:val="007B3E33"/>
    <w:rsid w:val="007B42FC"/>
    <w:rsid w:val="007B45D5"/>
    <w:rsid w:val="007B6E9D"/>
    <w:rsid w:val="007B7ED2"/>
    <w:rsid w:val="007C4A5A"/>
    <w:rsid w:val="007C4D77"/>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7F7118"/>
    <w:rsid w:val="0080109D"/>
    <w:rsid w:val="0080164F"/>
    <w:rsid w:val="00801886"/>
    <w:rsid w:val="00803116"/>
    <w:rsid w:val="00804A6E"/>
    <w:rsid w:val="0080534B"/>
    <w:rsid w:val="008053C3"/>
    <w:rsid w:val="00805668"/>
    <w:rsid w:val="0080661A"/>
    <w:rsid w:val="0081070A"/>
    <w:rsid w:val="00813ED9"/>
    <w:rsid w:val="008152F9"/>
    <w:rsid w:val="008161C9"/>
    <w:rsid w:val="00817E05"/>
    <w:rsid w:val="0082195C"/>
    <w:rsid w:val="008257EF"/>
    <w:rsid w:val="00826B1E"/>
    <w:rsid w:val="00832176"/>
    <w:rsid w:val="0083319E"/>
    <w:rsid w:val="0083357A"/>
    <w:rsid w:val="00833FD0"/>
    <w:rsid w:val="00834996"/>
    <w:rsid w:val="00836C63"/>
    <w:rsid w:val="0083794B"/>
    <w:rsid w:val="008412BF"/>
    <w:rsid w:val="00841A9D"/>
    <w:rsid w:val="00841B6D"/>
    <w:rsid w:val="008425BF"/>
    <w:rsid w:val="00843EC2"/>
    <w:rsid w:val="00845295"/>
    <w:rsid w:val="00846942"/>
    <w:rsid w:val="00851790"/>
    <w:rsid w:val="00851D79"/>
    <w:rsid w:val="00851F9F"/>
    <w:rsid w:val="008521C8"/>
    <w:rsid w:val="00852A40"/>
    <w:rsid w:val="00853AD7"/>
    <w:rsid w:val="00855A9C"/>
    <w:rsid w:val="00856317"/>
    <w:rsid w:val="00860279"/>
    <w:rsid w:val="0086164D"/>
    <w:rsid w:val="008623DF"/>
    <w:rsid w:val="00864794"/>
    <w:rsid w:val="008663A1"/>
    <w:rsid w:val="008675FF"/>
    <w:rsid w:val="00867CE8"/>
    <w:rsid w:val="008711F8"/>
    <w:rsid w:val="00871CDC"/>
    <w:rsid w:val="008731D5"/>
    <w:rsid w:val="00873F03"/>
    <w:rsid w:val="008757E7"/>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97DA5"/>
    <w:rsid w:val="008A212F"/>
    <w:rsid w:val="008A37C6"/>
    <w:rsid w:val="008A41EC"/>
    <w:rsid w:val="008A42B6"/>
    <w:rsid w:val="008A58FE"/>
    <w:rsid w:val="008A729B"/>
    <w:rsid w:val="008B04C4"/>
    <w:rsid w:val="008B1B19"/>
    <w:rsid w:val="008B3550"/>
    <w:rsid w:val="008B55FB"/>
    <w:rsid w:val="008B5A5D"/>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6047"/>
    <w:rsid w:val="00946D2D"/>
    <w:rsid w:val="00947F6A"/>
    <w:rsid w:val="00952D26"/>
    <w:rsid w:val="00953202"/>
    <w:rsid w:val="00953495"/>
    <w:rsid w:val="0095593F"/>
    <w:rsid w:val="00956266"/>
    <w:rsid w:val="00956C48"/>
    <w:rsid w:val="00956E5A"/>
    <w:rsid w:val="00956F13"/>
    <w:rsid w:val="00962073"/>
    <w:rsid w:val="00962283"/>
    <w:rsid w:val="00962FFE"/>
    <w:rsid w:val="00963F82"/>
    <w:rsid w:val="0097211F"/>
    <w:rsid w:val="00980019"/>
    <w:rsid w:val="00980F5F"/>
    <w:rsid w:val="00982719"/>
    <w:rsid w:val="00984A4F"/>
    <w:rsid w:val="00984ABB"/>
    <w:rsid w:val="00990D98"/>
    <w:rsid w:val="00990DA6"/>
    <w:rsid w:val="009916CD"/>
    <w:rsid w:val="00991B95"/>
    <w:rsid w:val="00992616"/>
    <w:rsid w:val="00992702"/>
    <w:rsid w:val="009935A6"/>
    <w:rsid w:val="0099491E"/>
    <w:rsid w:val="00995425"/>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A7870"/>
    <w:rsid w:val="009B118F"/>
    <w:rsid w:val="009B41B1"/>
    <w:rsid w:val="009B6C91"/>
    <w:rsid w:val="009B7025"/>
    <w:rsid w:val="009C0213"/>
    <w:rsid w:val="009C2279"/>
    <w:rsid w:val="009C28E0"/>
    <w:rsid w:val="009C2D10"/>
    <w:rsid w:val="009C37C8"/>
    <w:rsid w:val="009C4768"/>
    <w:rsid w:val="009C77A6"/>
    <w:rsid w:val="009C7F8B"/>
    <w:rsid w:val="009D0567"/>
    <w:rsid w:val="009D086A"/>
    <w:rsid w:val="009D0C1B"/>
    <w:rsid w:val="009D0D54"/>
    <w:rsid w:val="009D2138"/>
    <w:rsid w:val="009D30B1"/>
    <w:rsid w:val="009D3253"/>
    <w:rsid w:val="009D388B"/>
    <w:rsid w:val="009D531B"/>
    <w:rsid w:val="009D73B4"/>
    <w:rsid w:val="009E0112"/>
    <w:rsid w:val="009E3D8C"/>
    <w:rsid w:val="009E548D"/>
    <w:rsid w:val="009E6C7E"/>
    <w:rsid w:val="009E7BC0"/>
    <w:rsid w:val="009E7DBD"/>
    <w:rsid w:val="009F1DAB"/>
    <w:rsid w:val="009F3231"/>
    <w:rsid w:val="009F4388"/>
    <w:rsid w:val="00A00E3F"/>
    <w:rsid w:val="00A0146D"/>
    <w:rsid w:val="00A0353A"/>
    <w:rsid w:val="00A0472E"/>
    <w:rsid w:val="00A063A2"/>
    <w:rsid w:val="00A06CB9"/>
    <w:rsid w:val="00A10E24"/>
    <w:rsid w:val="00A12583"/>
    <w:rsid w:val="00A136CA"/>
    <w:rsid w:val="00A14659"/>
    <w:rsid w:val="00A14B19"/>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4A0"/>
    <w:rsid w:val="00A56851"/>
    <w:rsid w:val="00A570C7"/>
    <w:rsid w:val="00A57D8B"/>
    <w:rsid w:val="00A60E03"/>
    <w:rsid w:val="00A614E6"/>
    <w:rsid w:val="00A62954"/>
    <w:rsid w:val="00A62D73"/>
    <w:rsid w:val="00A62E01"/>
    <w:rsid w:val="00A63824"/>
    <w:rsid w:val="00A63BCF"/>
    <w:rsid w:val="00A64982"/>
    <w:rsid w:val="00A653DB"/>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2A1"/>
    <w:rsid w:val="00A94BBC"/>
    <w:rsid w:val="00A9512A"/>
    <w:rsid w:val="00A9650E"/>
    <w:rsid w:val="00A9687F"/>
    <w:rsid w:val="00AA1CE6"/>
    <w:rsid w:val="00AA2F38"/>
    <w:rsid w:val="00AA7E6E"/>
    <w:rsid w:val="00AB178A"/>
    <w:rsid w:val="00AB1C41"/>
    <w:rsid w:val="00AB5346"/>
    <w:rsid w:val="00AB58AD"/>
    <w:rsid w:val="00AB6359"/>
    <w:rsid w:val="00AB70EC"/>
    <w:rsid w:val="00AB736B"/>
    <w:rsid w:val="00AC4BED"/>
    <w:rsid w:val="00AC607B"/>
    <w:rsid w:val="00AC67BA"/>
    <w:rsid w:val="00AC6879"/>
    <w:rsid w:val="00AD5A7C"/>
    <w:rsid w:val="00AE0A19"/>
    <w:rsid w:val="00AE0D65"/>
    <w:rsid w:val="00AE12D2"/>
    <w:rsid w:val="00AE225C"/>
    <w:rsid w:val="00AE2391"/>
    <w:rsid w:val="00AE394D"/>
    <w:rsid w:val="00AE781F"/>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F44"/>
    <w:rsid w:val="00B44F55"/>
    <w:rsid w:val="00B4564F"/>
    <w:rsid w:val="00B458B0"/>
    <w:rsid w:val="00B464AB"/>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C0"/>
    <w:rsid w:val="00BD5591"/>
    <w:rsid w:val="00BD79E0"/>
    <w:rsid w:val="00BE04BC"/>
    <w:rsid w:val="00BE0562"/>
    <w:rsid w:val="00BE21EF"/>
    <w:rsid w:val="00BE3562"/>
    <w:rsid w:val="00BE4B1F"/>
    <w:rsid w:val="00BE609D"/>
    <w:rsid w:val="00BE6C18"/>
    <w:rsid w:val="00BE6F56"/>
    <w:rsid w:val="00BE7242"/>
    <w:rsid w:val="00BF15B4"/>
    <w:rsid w:val="00BF1649"/>
    <w:rsid w:val="00BF285B"/>
    <w:rsid w:val="00BF3D9B"/>
    <w:rsid w:val="00C01A18"/>
    <w:rsid w:val="00C02AAA"/>
    <w:rsid w:val="00C02FA0"/>
    <w:rsid w:val="00C03418"/>
    <w:rsid w:val="00C04180"/>
    <w:rsid w:val="00C043F7"/>
    <w:rsid w:val="00C05CD0"/>
    <w:rsid w:val="00C05E84"/>
    <w:rsid w:val="00C06344"/>
    <w:rsid w:val="00C070FC"/>
    <w:rsid w:val="00C11F5A"/>
    <w:rsid w:val="00C12140"/>
    <w:rsid w:val="00C121B3"/>
    <w:rsid w:val="00C137FA"/>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D0A"/>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6E9"/>
    <w:rsid w:val="00C868C4"/>
    <w:rsid w:val="00C87698"/>
    <w:rsid w:val="00C911B8"/>
    <w:rsid w:val="00C92875"/>
    <w:rsid w:val="00C936DD"/>
    <w:rsid w:val="00C9546C"/>
    <w:rsid w:val="00C95B8D"/>
    <w:rsid w:val="00CA1082"/>
    <w:rsid w:val="00CA38C5"/>
    <w:rsid w:val="00CA4A3C"/>
    <w:rsid w:val="00CA540B"/>
    <w:rsid w:val="00CA560D"/>
    <w:rsid w:val="00CA636C"/>
    <w:rsid w:val="00CA6D72"/>
    <w:rsid w:val="00CA769A"/>
    <w:rsid w:val="00CB00AE"/>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065A"/>
    <w:rsid w:val="00CD106C"/>
    <w:rsid w:val="00CD182C"/>
    <w:rsid w:val="00CD2ED5"/>
    <w:rsid w:val="00CD4ECF"/>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6BB0"/>
    <w:rsid w:val="00D16BC3"/>
    <w:rsid w:val="00D17C6C"/>
    <w:rsid w:val="00D21EC6"/>
    <w:rsid w:val="00D236EA"/>
    <w:rsid w:val="00D23AFB"/>
    <w:rsid w:val="00D23EA7"/>
    <w:rsid w:val="00D2550D"/>
    <w:rsid w:val="00D26ED7"/>
    <w:rsid w:val="00D31892"/>
    <w:rsid w:val="00D31F14"/>
    <w:rsid w:val="00D32801"/>
    <w:rsid w:val="00D35E94"/>
    <w:rsid w:val="00D364BF"/>
    <w:rsid w:val="00D4086A"/>
    <w:rsid w:val="00D41984"/>
    <w:rsid w:val="00D4231F"/>
    <w:rsid w:val="00D45FD8"/>
    <w:rsid w:val="00D47CE2"/>
    <w:rsid w:val="00D50256"/>
    <w:rsid w:val="00D514DC"/>
    <w:rsid w:val="00D54049"/>
    <w:rsid w:val="00D55774"/>
    <w:rsid w:val="00D60F15"/>
    <w:rsid w:val="00D62FE1"/>
    <w:rsid w:val="00D63904"/>
    <w:rsid w:val="00D655D1"/>
    <w:rsid w:val="00D665E5"/>
    <w:rsid w:val="00D70771"/>
    <w:rsid w:val="00D7162A"/>
    <w:rsid w:val="00D73036"/>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6E3"/>
    <w:rsid w:val="00DA279F"/>
    <w:rsid w:val="00DA421D"/>
    <w:rsid w:val="00DA4477"/>
    <w:rsid w:val="00DB1F29"/>
    <w:rsid w:val="00DB48FB"/>
    <w:rsid w:val="00DB559E"/>
    <w:rsid w:val="00DB740B"/>
    <w:rsid w:val="00DC59EB"/>
    <w:rsid w:val="00DC5B3D"/>
    <w:rsid w:val="00DC6DA0"/>
    <w:rsid w:val="00DD0F7F"/>
    <w:rsid w:val="00DD190F"/>
    <w:rsid w:val="00DD1EAE"/>
    <w:rsid w:val="00DD574C"/>
    <w:rsid w:val="00DD6371"/>
    <w:rsid w:val="00DD6967"/>
    <w:rsid w:val="00DD6BCE"/>
    <w:rsid w:val="00DE3AE4"/>
    <w:rsid w:val="00DE44B3"/>
    <w:rsid w:val="00DF04B0"/>
    <w:rsid w:val="00DF27F3"/>
    <w:rsid w:val="00DF2BBC"/>
    <w:rsid w:val="00DF3631"/>
    <w:rsid w:val="00DF3F91"/>
    <w:rsid w:val="00DF4680"/>
    <w:rsid w:val="00DF5003"/>
    <w:rsid w:val="00DF522D"/>
    <w:rsid w:val="00DF594A"/>
    <w:rsid w:val="00DF66D6"/>
    <w:rsid w:val="00DF7EFB"/>
    <w:rsid w:val="00E0094D"/>
    <w:rsid w:val="00E00FEC"/>
    <w:rsid w:val="00E0123F"/>
    <w:rsid w:val="00E0188B"/>
    <w:rsid w:val="00E0260B"/>
    <w:rsid w:val="00E04422"/>
    <w:rsid w:val="00E06570"/>
    <w:rsid w:val="00E07AA1"/>
    <w:rsid w:val="00E110CB"/>
    <w:rsid w:val="00E12A95"/>
    <w:rsid w:val="00E15130"/>
    <w:rsid w:val="00E16EC1"/>
    <w:rsid w:val="00E176F6"/>
    <w:rsid w:val="00E17C52"/>
    <w:rsid w:val="00E23D23"/>
    <w:rsid w:val="00E248C2"/>
    <w:rsid w:val="00E24A0F"/>
    <w:rsid w:val="00E30DFD"/>
    <w:rsid w:val="00E31F9E"/>
    <w:rsid w:val="00E33B14"/>
    <w:rsid w:val="00E345A7"/>
    <w:rsid w:val="00E4105D"/>
    <w:rsid w:val="00E4299D"/>
    <w:rsid w:val="00E43B2B"/>
    <w:rsid w:val="00E43BC3"/>
    <w:rsid w:val="00E45124"/>
    <w:rsid w:val="00E459BE"/>
    <w:rsid w:val="00E463E7"/>
    <w:rsid w:val="00E506BB"/>
    <w:rsid w:val="00E5215B"/>
    <w:rsid w:val="00E53550"/>
    <w:rsid w:val="00E54CCC"/>
    <w:rsid w:val="00E615E1"/>
    <w:rsid w:val="00E62751"/>
    <w:rsid w:val="00E62F0B"/>
    <w:rsid w:val="00E632A8"/>
    <w:rsid w:val="00E64EB1"/>
    <w:rsid w:val="00E64F33"/>
    <w:rsid w:val="00E64FE7"/>
    <w:rsid w:val="00E66656"/>
    <w:rsid w:val="00E71249"/>
    <w:rsid w:val="00E71BD4"/>
    <w:rsid w:val="00E72389"/>
    <w:rsid w:val="00E74456"/>
    <w:rsid w:val="00E77E8E"/>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6DDB"/>
    <w:rsid w:val="00E97E1E"/>
    <w:rsid w:val="00EA278C"/>
    <w:rsid w:val="00EA3878"/>
    <w:rsid w:val="00EA71DC"/>
    <w:rsid w:val="00EB2098"/>
    <w:rsid w:val="00EB2411"/>
    <w:rsid w:val="00EB3B8B"/>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26FE"/>
    <w:rsid w:val="00F2325F"/>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196E"/>
    <w:rsid w:val="00F42043"/>
    <w:rsid w:val="00F43626"/>
    <w:rsid w:val="00F45B20"/>
    <w:rsid w:val="00F472E2"/>
    <w:rsid w:val="00F47B89"/>
    <w:rsid w:val="00F52424"/>
    <w:rsid w:val="00F52D32"/>
    <w:rsid w:val="00F52F24"/>
    <w:rsid w:val="00F52F90"/>
    <w:rsid w:val="00F53F72"/>
    <w:rsid w:val="00F571FF"/>
    <w:rsid w:val="00F611B3"/>
    <w:rsid w:val="00F61909"/>
    <w:rsid w:val="00F625C8"/>
    <w:rsid w:val="00F6279C"/>
    <w:rsid w:val="00F6282E"/>
    <w:rsid w:val="00F63E8D"/>
    <w:rsid w:val="00F64035"/>
    <w:rsid w:val="00F641C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A6DDF"/>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1D0A"/>
    <w:rsid w:val="00FD4899"/>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0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berghmidsuffolk.moderngov.co.uk/uuCoverPage.aspx?bcr=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E865-D078-480A-8AB6-CBDED068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27</cp:revision>
  <cp:lastPrinted>2019-10-11T12:13:00Z</cp:lastPrinted>
  <dcterms:created xsi:type="dcterms:W3CDTF">2020-02-14T11:06:00Z</dcterms:created>
  <dcterms:modified xsi:type="dcterms:W3CDTF">2020-03-10T13:42:00Z</dcterms:modified>
</cp:coreProperties>
</file>