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2D" w:rsidRPr="00831E2D" w:rsidRDefault="00831E2D" w:rsidP="00831E2D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proofErr w:type="spellStart"/>
      <w:r w:rsidRPr="00831E2D">
        <w:rPr>
          <w:rFonts w:asciiTheme="majorHAnsi" w:hAnsiTheme="majorHAnsi"/>
          <w:b/>
          <w:color w:val="0070C0"/>
          <w:sz w:val="32"/>
          <w:szCs w:val="32"/>
        </w:rPr>
        <w:t>Glemsford</w:t>
      </w:r>
      <w:proofErr w:type="spellEnd"/>
      <w:r w:rsidRPr="00831E2D">
        <w:rPr>
          <w:rFonts w:asciiTheme="majorHAnsi" w:hAnsiTheme="majorHAnsi"/>
          <w:b/>
          <w:color w:val="0070C0"/>
          <w:sz w:val="32"/>
          <w:szCs w:val="32"/>
        </w:rPr>
        <w:t xml:space="preserve"> Parish Council </w:t>
      </w:r>
    </w:p>
    <w:p w:rsidR="00831E2D" w:rsidRPr="00831E2D" w:rsidRDefault="00831E2D" w:rsidP="00831E2D">
      <w:pPr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831E2D">
        <w:rPr>
          <w:rFonts w:asciiTheme="majorHAnsi" w:hAnsiTheme="majorHAnsi"/>
          <w:b/>
          <w:color w:val="0070C0"/>
          <w:sz w:val="32"/>
          <w:szCs w:val="32"/>
        </w:rPr>
        <w:t>Data Protection Impact Assessment Policy</w:t>
      </w:r>
    </w:p>
    <w:p w:rsidR="00831E2D" w:rsidRDefault="00831E2D"/>
    <w:p w:rsidR="00492697" w:rsidRPr="00831E2D" w:rsidRDefault="00492697">
      <w:pPr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831E2D">
        <w:rPr>
          <w:rFonts w:asciiTheme="majorHAnsi" w:hAnsiTheme="majorHAnsi"/>
          <w:sz w:val="24"/>
          <w:szCs w:val="24"/>
        </w:rPr>
        <w:t>Glemsford</w:t>
      </w:r>
      <w:proofErr w:type="spellEnd"/>
      <w:r w:rsidRPr="00831E2D">
        <w:rPr>
          <w:rFonts w:asciiTheme="majorHAnsi" w:hAnsiTheme="majorHAnsi"/>
          <w:sz w:val="24"/>
          <w:szCs w:val="24"/>
        </w:rPr>
        <w:t xml:space="preserve"> </w:t>
      </w:r>
      <w:r w:rsidR="002968B6" w:rsidRPr="00831E2D">
        <w:rPr>
          <w:rFonts w:asciiTheme="majorHAnsi" w:hAnsiTheme="majorHAnsi"/>
          <w:sz w:val="24"/>
          <w:szCs w:val="24"/>
        </w:rPr>
        <w:t xml:space="preserve"> </w:t>
      </w:r>
      <w:r w:rsidRPr="00831E2D">
        <w:rPr>
          <w:rFonts w:asciiTheme="majorHAnsi" w:hAnsiTheme="majorHAnsi"/>
          <w:sz w:val="24"/>
          <w:szCs w:val="24"/>
        </w:rPr>
        <w:t>Parish</w:t>
      </w:r>
      <w:proofErr w:type="gramEnd"/>
      <w:r w:rsidRPr="00831E2D">
        <w:rPr>
          <w:rFonts w:asciiTheme="majorHAnsi" w:hAnsiTheme="majorHAnsi"/>
          <w:sz w:val="24"/>
          <w:szCs w:val="24"/>
        </w:rPr>
        <w:t xml:space="preserve"> Council has </w:t>
      </w:r>
      <w:r w:rsidR="002968B6" w:rsidRPr="00831E2D">
        <w:rPr>
          <w:rFonts w:asciiTheme="majorHAnsi" w:hAnsiTheme="majorHAnsi"/>
          <w:sz w:val="24"/>
          <w:szCs w:val="24"/>
        </w:rPr>
        <w:t xml:space="preserve">adopted the accountability and governance guidance provided by the Information Commissioner’s Office in respect of Data Protection Impact Assessments (DPIAs) required under the General Data Protection Regulations. </w:t>
      </w:r>
    </w:p>
    <w:p w:rsidR="00492697" w:rsidRPr="00831E2D" w:rsidRDefault="00492697">
      <w:pPr>
        <w:rPr>
          <w:rFonts w:asciiTheme="majorHAnsi" w:hAnsiTheme="majorHAnsi"/>
          <w:sz w:val="24"/>
          <w:szCs w:val="24"/>
        </w:rPr>
      </w:pPr>
    </w:p>
    <w:p w:rsidR="00492697" w:rsidRPr="00831E2D" w:rsidRDefault="002968B6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b/>
          <w:sz w:val="24"/>
          <w:szCs w:val="24"/>
        </w:rPr>
        <w:t>Assessments</w:t>
      </w:r>
      <w:r w:rsidRPr="00831E2D">
        <w:rPr>
          <w:rFonts w:asciiTheme="majorHAnsi" w:hAnsiTheme="majorHAnsi"/>
          <w:sz w:val="24"/>
          <w:szCs w:val="24"/>
        </w:rPr>
        <w:t xml:space="preserve"> </w:t>
      </w:r>
    </w:p>
    <w:p w:rsidR="00492697" w:rsidRPr="00831E2D" w:rsidRDefault="002968B6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A DPIA is a process to help a controller of data identify and minimise data protection risks of a project. </w:t>
      </w:r>
    </w:p>
    <w:p w:rsidR="00492697" w:rsidRPr="00831E2D" w:rsidRDefault="002968B6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We will carry out such an assessment that is likely to result in a high risk to individuals. This will include specified types of processing. </w:t>
      </w:r>
    </w:p>
    <w:p w:rsidR="00492697" w:rsidRPr="00831E2D" w:rsidRDefault="002968B6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It is also good practice to complete a DPIA for any other major project which requires the processing of personal data. </w:t>
      </w:r>
    </w:p>
    <w:p w:rsidR="00492697" w:rsidRPr="00831E2D" w:rsidRDefault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Our DPIA will; </w:t>
      </w:r>
    </w:p>
    <w:p w:rsidR="00492697" w:rsidRPr="00831E2D" w:rsidRDefault="002968B6" w:rsidP="004926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Describe the nature, scope, context and purposes of the processing</w:t>
      </w:r>
    </w:p>
    <w:p w:rsidR="00492697" w:rsidRPr="00831E2D" w:rsidRDefault="002968B6" w:rsidP="004926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Assess necessity, proportionality and compliance measures </w:t>
      </w:r>
    </w:p>
    <w:p w:rsidR="00492697" w:rsidRPr="00831E2D" w:rsidRDefault="002968B6" w:rsidP="004926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Identify and ass</w:t>
      </w:r>
      <w:r w:rsidR="00492697" w:rsidRPr="00831E2D">
        <w:rPr>
          <w:rFonts w:asciiTheme="majorHAnsi" w:hAnsiTheme="majorHAnsi"/>
          <w:sz w:val="24"/>
          <w:szCs w:val="24"/>
        </w:rPr>
        <w:t>ess risks to individuals</w:t>
      </w:r>
    </w:p>
    <w:p w:rsidR="00492697" w:rsidRPr="00831E2D" w:rsidRDefault="002968B6" w:rsidP="004926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Identify any additional measures to mitigate risks </w:t>
      </w:r>
    </w:p>
    <w:p w:rsidR="00492697" w:rsidRPr="00831E2D" w:rsidRDefault="00492697" w:rsidP="00492697">
      <w:pPr>
        <w:pStyle w:val="ListParagraph"/>
        <w:rPr>
          <w:rFonts w:asciiTheme="majorHAnsi" w:hAnsiTheme="majorHAnsi"/>
          <w:sz w:val="24"/>
          <w:szCs w:val="24"/>
        </w:rPr>
      </w:pPr>
    </w:p>
    <w:p w:rsidR="00492697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In carrying out a DPIA we use the Information Commissioner’s Office template. </w:t>
      </w:r>
    </w:p>
    <w:p w:rsidR="00492697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In assessing the level of risk, we will consider both the likelihood and the severity of any impact on individuals. High risk could result from either a high probability of some harm, or a lower possibility of serious harm. </w:t>
      </w:r>
    </w:p>
    <w:p w:rsidR="00492697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Where appropriate we shall consult the data protection officer</w:t>
      </w:r>
      <w:r w:rsidR="00492697" w:rsidRPr="00831E2D">
        <w:rPr>
          <w:rFonts w:asciiTheme="majorHAnsi" w:hAnsiTheme="majorHAnsi"/>
          <w:sz w:val="24"/>
          <w:szCs w:val="24"/>
        </w:rPr>
        <w:t xml:space="preserve"> commissioned via BDC/SCC </w:t>
      </w:r>
      <w:r w:rsidRPr="00831E2D">
        <w:rPr>
          <w:rFonts w:asciiTheme="majorHAnsi" w:hAnsiTheme="majorHAnsi"/>
          <w:sz w:val="24"/>
          <w:szCs w:val="24"/>
        </w:rPr>
        <w:t xml:space="preserve">Council. </w:t>
      </w:r>
    </w:p>
    <w:p w:rsidR="00492697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If we identify a high risk that we cannot mitigate, we shall consult the ICO before starting the processing. </w:t>
      </w:r>
    </w:p>
    <w:p w:rsidR="00492697" w:rsidRPr="00831E2D" w:rsidRDefault="002968B6" w:rsidP="00492697">
      <w:pPr>
        <w:rPr>
          <w:rFonts w:asciiTheme="majorHAnsi" w:hAnsiTheme="majorHAnsi"/>
          <w:b/>
          <w:sz w:val="24"/>
          <w:szCs w:val="24"/>
        </w:rPr>
      </w:pPr>
      <w:r w:rsidRPr="00831E2D">
        <w:rPr>
          <w:rFonts w:asciiTheme="majorHAnsi" w:hAnsiTheme="majorHAnsi"/>
          <w:b/>
          <w:sz w:val="24"/>
          <w:szCs w:val="24"/>
        </w:rPr>
        <w:t xml:space="preserve">When we will complete a DPIA </w:t>
      </w:r>
    </w:p>
    <w:p w:rsidR="004B3F68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A DPIA will be carried out prior to any type of processing which is likely to result in a high risk. Furthermore we will carry </w:t>
      </w:r>
      <w:r w:rsidR="00831E2D">
        <w:rPr>
          <w:rFonts w:asciiTheme="majorHAnsi" w:hAnsiTheme="majorHAnsi"/>
          <w:sz w:val="24"/>
          <w:szCs w:val="24"/>
        </w:rPr>
        <w:t>out a DPIA if it is proposed to:</w:t>
      </w:r>
      <w:r w:rsidRPr="00831E2D">
        <w:rPr>
          <w:rFonts w:asciiTheme="majorHAnsi" w:hAnsiTheme="majorHAnsi"/>
          <w:sz w:val="24"/>
          <w:szCs w:val="24"/>
        </w:rPr>
        <w:t xml:space="preserve">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Use systematic and extensive profiling with significant effects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lastRenderedPageBreak/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Process special category or criminal offence data on a large scale </w:t>
      </w:r>
    </w:p>
    <w:p w:rsid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Monitor publicly accessible places on a large scale </w:t>
      </w:r>
    </w:p>
    <w:p w:rsid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Use new technologies </w:t>
      </w:r>
    </w:p>
    <w:p w:rsidR="004B3F68" w:rsidRPr="00831E2D" w:rsidRDefault="002968B6" w:rsidP="00831E2D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Use profiling or special category data to decide on access to services </w:t>
      </w:r>
    </w:p>
    <w:p w:rsidR="004B3F68" w:rsidRPr="00831E2D" w:rsidRDefault="002968B6" w:rsidP="00831E2D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Collect personal data from a source other than the individual without providing them with a privacy notice </w:t>
      </w:r>
    </w:p>
    <w:p w:rsidR="004B3F68" w:rsidRDefault="002968B6" w:rsidP="00831E2D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sym w:font="Symbol" w:char="F0B7"/>
      </w:r>
      <w:r w:rsidRPr="00831E2D">
        <w:rPr>
          <w:rFonts w:asciiTheme="majorHAnsi" w:hAnsiTheme="majorHAnsi"/>
          <w:sz w:val="24"/>
          <w:szCs w:val="24"/>
        </w:rPr>
        <w:t xml:space="preserve"> Process data that might endanger the individual’s physical health or safety in the event of a security breach. </w:t>
      </w:r>
    </w:p>
    <w:p w:rsidR="00831E2D" w:rsidRPr="00831E2D" w:rsidRDefault="00831E2D" w:rsidP="00831E2D">
      <w:pPr>
        <w:spacing w:after="0"/>
        <w:rPr>
          <w:rFonts w:asciiTheme="majorHAnsi" w:hAnsiTheme="majorHAnsi"/>
          <w:sz w:val="24"/>
          <w:szCs w:val="24"/>
        </w:rPr>
      </w:pPr>
    </w:p>
    <w:p w:rsidR="004B3F68" w:rsidRPr="00831E2D" w:rsidRDefault="002968B6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b/>
          <w:sz w:val="24"/>
          <w:szCs w:val="24"/>
        </w:rPr>
        <w:t>Process for DPIA</w:t>
      </w:r>
      <w:r w:rsidRPr="00831E2D">
        <w:rPr>
          <w:rFonts w:asciiTheme="majorHAnsi" w:hAnsiTheme="majorHAnsi"/>
          <w:sz w:val="24"/>
          <w:szCs w:val="24"/>
        </w:rPr>
        <w:t xml:space="preserve"> </w:t>
      </w:r>
    </w:p>
    <w:p w:rsidR="004B3F68" w:rsidRDefault="002968B6" w:rsidP="00831E2D">
      <w:pPr>
        <w:spacing w:after="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We shall carry out the following proc</w:t>
      </w:r>
      <w:r w:rsidR="00831E2D">
        <w:rPr>
          <w:rFonts w:asciiTheme="majorHAnsi" w:hAnsiTheme="majorHAnsi"/>
          <w:sz w:val="24"/>
          <w:szCs w:val="24"/>
        </w:rPr>
        <w:t>edure when contemplating a DPIA:</w:t>
      </w:r>
    </w:p>
    <w:p w:rsidR="00831E2D" w:rsidRPr="00831E2D" w:rsidRDefault="00831E2D" w:rsidP="00831E2D">
      <w:pPr>
        <w:spacing w:after="0"/>
        <w:rPr>
          <w:rFonts w:asciiTheme="majorHAnsi" w:hAnsiTheme="majorHAnsi"/>
          <w:sz w:val="24"/>
          <w:szCs w:val="24"/>
        </w:rPr>
      </w:pP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1. Identify the need for a DPIA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2. Describe the Processing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3. Consider consultation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4. Assess necessity and proportionality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5. Identify and assess risks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6. Identify measures to mitigate</w:t>
      </w:r>
    </w:p>
    <w:p w:rsidR="004B3F68" w:rsidRPr="00831E2D" w:rsidRDefault="002968B6" w:rsidP="00831E2D">
      <w:pPr>
        <w:spacing w:after="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 </w:t>
      </w:r>
      <w:r w:rsidR="00831E2D">
        <w:rPr>
          <w:rFonts w:asciiTheme="majorHAnsi" w:hAnsiTheme="majorHAnsi"/>
          <w:sz w:val="24"/>
          <w:szCs w:val="24"/>
        </w:rPr>
        <w:tab/>
      </w:r>
      <w:r w:rsidRPr="00831E2D">
        <w:rPr>
          <w:rFonts w:asciiTheme="majorHAnsi" w:hAnsiTheme="majorHAnsi"/>
          <w:sz w:val="24"/>
          <w:szCs w:val="24"/>
        </w:rPr>
        <w:t xml:space="preserve">7. Sign off and record outcomes </w:t>
      </w:r>
    </w:p>
    <w:p w:rsidR="004B3F68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8. Integrate outcomes into plan </w:t>
      </w:r>
    </w:p>
    <w:p w:rsidR="00725414" w:rsidRPr="00831E2D" w:rsidRDefault="002968B6" w:rsidP="00831E2D">
      <w:pPr>
        <w:spacing w:after="0"/>
        <w:ind w:firstLine="720"/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>9. Keep under revi</w:t>
      </w:r>
      <w:r w:rsidR="004B3F68" w:rsidRPr="00831E2D">
        <w:rPr>
          <w:rFonts w:asciiTheme="majorHAnsi" w:hAnsiTheme="majorHAnsi"/>
          <w:sz w:val="24"/>
          <w:szCs w:val="24"/>
        </w:rPr>
        <w:t>ew</w:t>
      </w:r>
    </w:p>
    <w:p w:rsidR="004B3F68" w:rsidRPr="00831E2D" w:rsidRDefault="004B3F68" w:rsidP="00492697">
      <w:pPr>
        <w:rPr>
          <w:rFonts w:asciiTheme="majorHAnsi" w:hAnsiTheme="majorHAnsi"/>
          <w:sz w:val="24"/>
          <w:szCs w:val="24"/>
        </w:rPr>
      </w:pPr>
    </w:p>
    <w:p w:rsidR="004B3F68" w:rsidRPr="00831E2D" w:rsidRDefault="004B3F68" w:rsidP="00492697">
      <w:pPr>
        <w:rPr>
          <w:rFonts w:asciiTheme="majorHAnsi" w:hAnsiTheme="majorHAnsi"/>
          <w:sz w:val="24"/>
          <w:szCs w:val="24"/>
        </w:rPr>
      </w:pPr>
      <w:r w:rsidRPr="00831E2D">
        <w:rPr>
          <w:rFonts w:asciiTheme="majorHAnsi" w:hAnsiTheme="majorHAnsi"/>
          <w:sz w:val="24"/>
          <w:szCs w:val="24"/>
        </w:rPr>
        <w:t xml:space="preserve">Adopted by </w:t>
      </w:r>
      <w:proofErr w:type="spellStart"/>
      <w:r w:rsidRPr="00831E2D">
        <w:rPr>
          <w:rFonts w:asciiTheme="majorHAnsi" w:hAnsiTheme="majorHAnsi"/>
          <w:sz w:val="24"/>
          <w:szCs w:val="24"/>
        </w:rPr>
        <w:t>Glemsford</w:t>
      </w:r>
      <w:proofErr w:type="spellEnd"/>
      <w:r w:rsidRPr="00831E2D">
        <w:rPr>
          <w:rFonts w:asciiTheme="majorHAnsi" w:hAnsiTheme="majorHAnsi"/>
          <w:sz w:val="24"/>
          <w:szCs w:val="24"/>
        </w:rPr>
        <w:t xml:space="preserve"> Parish Council:</w:t>
      </w:r>
      <w:r w:rsidRPr="00831E2D">
        <w:rPr>
          <w:rFonts w:asciiTheme="majorHAnsi" w:hAnsiTheme="majorHAnsi"/>
          <w:sz w:val="24"/>
          <w:szCs w:val="24"/>
        </w:rPr>
        <w:br/>
        <w:t xml:space="preserve">Date: </w:t>
      </w:r>
      <w:r w:rsidR="00375594">
        <w:rPr>
          <w:rFonts w:asciiTheme="majorHAnsi" w:hAnsiTheme="majorHAnsi"/>
          <w:sz w:val="24"/>
          <w:szCs w:val="24"/>
        </w:rPr>
        <w:t>Mar 2023</w:t>
      </w:r>
      <w:bookmarkStart w:id="0" w:name="_GoBack"/>
      <w:bookmarkEnd w:id="0"/>
    </w:p>
    <w:sectPr w:rsidR="004B3F68" w:rsidRPr="00831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F9E"/>
    <w:multiLevelType w:val="hybridMultilevel"/>
    <w:tmpl w:val="97BEE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6"/>
    <w:rsid w:val="002968B6"/>
    <w:rsid w:val="00375594"/>
    <w:rsid w:val="00492697"/>
    <w:rsid w:val="004B3F68"/>
    <w:rsid w:val="00725414"/>
    <w:rsid w:val="00831E2D"/>
    <w:rsid w:val="00D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george</dc:creator>
  <cp:lastModifiedBy>debbie george</cp:lastModifiedBy>
  <cp:revision>2</cp:revision>
  <dcterms:created xsi:type="dcterms:W3CDTF">2023-05-04T14:23:00Z</dcterms:created>
  <dcterms:modified xsi:type="dcterms:W3CDTF">2023-05-04T14:23:00Z</dcterms:modified>
</cp:coreProperties>
</file>